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ATA/452/2005 vom 21. Juni 2005</w:t>
      </w:r>
    </w:p>
    <w:p>
      <w:r>
        <w:t>GE Cour de justice, 2005-06-21, FR</w:t>
      </w:r>
    </w:p>
    <w:p>
      <w:r>
        <w:rPr>
          <w:b/>
        </w:rPr>
        <w:t xml:space="preserve">Quelle: </w:t>
      </w:r>
      <w:r>
        <w:t>https://mcp.opencaselaw.ch/entscheid/ge_gerichte_ATA_452_2005</w:t>
      </w:r>
    </w:p>
    <w:p>
      <w:r>
        <w:t>FR: GE_GERICHTE ATA/452/2005 du 21 juin 2005</w:t>
      </w:r>
    </w:p>
    <w:p>
      <w:r>
        <w:t>IT: GE_GERICHTE ATA/452/2005 del 21 giugno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56A de la loi sur l'organisation judiciaire du 22 novembre 1941 - LOJ - E 2 05 ; art. 63 al. 1 litt. a de la loi sur la procédure administrative du 12 septembre 1985 - LPA - E 5 10).</w:t>
      </w:r>
    </w:p>
    <w:p>
      <w:r>
        <w:rPr>
          <w:b/>
        </w:rPr>
        <w:t>E. 2</w:t>
      </w:r>
    </w:p>
    <w:p>
      <w:r>
        <w:t>Selon l’article 61 alinéa 1 LPA, le recours peut être formé pour violation du droit y compris l’excès et l’abus du pouvoir d’appréciation (litt. a) et pour constatation inexacte ou incomplète des faits pertinents (litt. b).</w:t>
      </w:r>
    </w:p>
    <w:p>
      <w:r>
        <w:t>Dans le cas particulier, le recourant n’allègue aucun grief à l’encontre de la décision du SAN, souhaitant uniquement un aménagement de l’exécution de la mesure de retrait de permis ordonnée.</w:t>
      </w:r>
    </w:p>
    <w:p>
      <w:r>
        <w:rPr>
          <w:b/>
        </w:rPr>
        <w:t>E. 3</w:t>
      </w:r>
    </w:p>
    <w:p>
      <w:r>
        <w:t>Voudrait-on considérer la démarche de M. A__________ comme recours contre une mesure d’exécution que ce dernier ne serait alors pas recevable en application de l’article 59 lettre b LPA.</w:t>
      </w:r>
    </w:p>
    <w:p>
      <w:r>
        <w:rPr>
          <w:b/>
        </w:rPr>
        <w:t>E. 4</w:t>
      </w:r>
    </w:p>
    <w:p>
      <w:r>
        <w:t>Au vu de ce qui précède, le recours doit être déclaré irrecevable.</w:t>
      </w:r>
    </w:p>
    <w:p>
      <w:r>
        <w:t>- 4/4 - A/1672/2005</w:t>
      </w:r>
    </w:p>
    <w:p>
      <w:r>
        <w:rPr>
          <w:b/>
        </w:rPr>
        <w:t>E. 5</w:t>
      </w:r>
    </w:p>
    <w:p>
      <w:r>
        <w:t>Le tribunal de céans ayant statué sur la cause, la demande de restitution de l’effet suspensif est sans objet.</w:t>
      </w:r>
    </w:p>
    <w:p>
      <w:r>
        <w:rPr>
          <w:b/>
        </w:rPr>
        <w:t>E. 6</w:t>
      </w:r>
    </w:p>
    <w:p>
      <w:r>
        <w:t>Vu l’issue du litige, un émolument de CHF 300.- sera mis à la charge du recourant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