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ATA/451/2023 vom 28. April 2023</w:t>
      </w:r>
    </w:p>
    <w:p>
      <w:r>
        <w:t>GE Cour de justice, 2023-04-28, FR</w:t>
      </w:r>
    </w:p>
    <w:p>
      <w:r>
        <w:rPr>
          <w:b/>
        </w:rPr>
        <w:t xml:space="preserve">Quelle: </w:t>
      </w:r>
      <w:r>
        <w:t>https://mcp.opencaselaw.ch/entscheid/ge_gerichte_ATA_451_2023</w:t>
      </w:r>
    </w:p>
    <w:p>
      <w:r>
        <w:t>FR: GE_GERICHTE ATA/451/2023 du 28 avril 2023</w:t>
      </w:r>
    </w:p>
    <w:p>
      <w:r>
        <w:t>IT: GE_GERICHTE ATA/451/2023 del 28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21 avril 2023 et statuant ce jour, elle respecte ce délai. 3. L'intimé soutient que le transfert du recourant dans un autre établissement de détention, à savoir D______, rend son recours sans objet dans la mesure où ce dernier n'aborde que la question de ses conditions de détention. Or, la jurisprudence a notamment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w:t>
      </w:r>
    </w:p>
    <w:p>
      <w:r>
        <w:rPr>
          <w:b/>
        </w:rPr>
        <w:t>E. 7</w:t>
      </w:r>
    </w:p>
    <w:p>
      <w:r>
        <w:t>février 2019 consid. 2).</w:t>
      </w:r>
    </w:p>
    <w:p>
      <w:r>
        <w:t>- 18/29 - A/1262/2023 Ainsi, quand bien même le recourant n'aurait plus d'intérêt actuel et pratique au recours – ce qu'il conteste, mais qui peut souffrir de demeurer ouvert –, il y aurait lieu d'entrer en matière, dès lors qu'il invoque de manière défendable une violation de l'art. 3 CEDH. 4. Dans la mesure où le recourant conclut à sa mise en liberté immédiate, il convient d'examiner en premier lieu si les conditions générales de la mise en détention administrative et de son éventuelle prolongation sont données. 4.1 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4.2 À teneur de l'art. 76 al. 1 let. b ch. 1 LEI, qui renvoie à l'art. 75 al. 1 let. h LEI, après notification d'une décision de première instance de renvoi ou d'une décision de première instance d'expulsion au sens des art. 66a ou 66abis CP,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de la Cour de justice, pour qu'une personne puisse être mise en détention sur la base de cette disposition, elle doit avoir été condamnée par une juridiction pénale de première instance, sans qu'il soit nécessaire que le jugement soit définitif (ATA/127/2015 du 3 février 2015 consid. 6).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4.3 En l’espèce, la chambre de céans a déjà admis dans l'ATA/22/2023 du 13 janvier 2023 que les conditions d’une mise en détention administrative étaient réunies, vu notamment la condamnation pénale du recourant pour violation grave de la LStup – soit un crime – et blanchiment d’argent aggravé, et son expulsion pénale prononcée pour une durée de cinq ans. Le recourant ne le conteste d'ailleurs pas.</w:t>
      </w:r>
    </w:p>
    <w:p>
      <w:r>
        <w:t>- 19/29 - A/1262/2023 Par ailleurs, si sa mise en détention a été prononcée le 31 mai 2022, soit il y a désormais plus de six mois, les conditions d’une prolongation sont réalisées au sens de l’art. 79 al. 2 LEI, comme examiné ci-après. 5.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5.1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5.2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 5.3 En l'espèce, le raisonnement du TAPI ne prête pas le flanc à la critique et le recourant ne prétend le contraire que dans son complément au recours daté de ce jour. Les autorités ont poursuivi leurs démarches en vue de l’identification du recourant et celui-ci est inscrit à une audition centralisée en mai 2023. Il s'agit certes d'une seconde audition par les autorités M_______ – et il en va de même pour l'audition par les autorités G______ prévue en juin 2023 –, mais les autorités de migration ont fait valoir qu'il arrivait aux délégations de reconnaître un de leurs ressortissants en de telles occasions, ce qui apparaît vraisemblable. Le recourant met aussi en avant le caractère lointain de l'audition par les autorités E______, et l'erreur commise par les autorités suisses pour justifier son absence de présentation en novembre 2022, que le TAPI a reconnue dans son jugement du 22 décembre 2022. Cela étant, comme le TAPI l'a aussi relevé quelques lignes plus loin dans le même jugement, « il serait actuellement prématuré de lever la détention de M. A______ au motif de l'incertitude pesant sur la date d'une audition par une délégation E______ en 2023, puisque de toute façon, d'autres</w:t>
      </w:r>
    </w:p>
    <w:p>
      <w:r>
        <w:t>- 20/29 - A/1262/2023 échéances sont prévues en avril de cette année. Il sera toujours temps, si la date de l'audition E______ demeure toujours incertaine lors de la prochaine demande de prolongation qui sera éventuellement soumise au tribunal, d'examiner si la violation du principe de célérité doit cette fois emporter la libération de M. A______ ». Le présent recours émanant uniquement de la personne mise en détention, la question de la durée de la détention, soit celle de savoir si c'est à raison que le TAPI n'a prolongé la détention que de deux mois est exorbitante au litige, la durée de la détention dépendant en outre de la résolution de la question de la mise en liberté en rapport avec les conditions de détention. Au surplus, la durée de la détention du recourant tient largement à son absence de coopération et l'intérêt public à l'exécution de son renvoi est prépondérant vu ses condamnations et la longue durée de son expulsion du territoire, ce qui exclut toute libération fondée sur des motifs d'opportunité. Dans ces circonstances, aucune mesure moins incisive que le maintien en détention administrative, notamment une assignation à résidence, aucune ne lui étant au demeurant connue, ou l’obligation de se présenter régulièrement à l’autorité, n’est à même de garantir la présence du recourant lors de l'exécution du renvoi. La détention est ainsi apte à atteindre le but voulu par le législateur, et s’avère nécessaire, compte tenu de la difficulté prévisible de l’exécution du renvoi en raison du refus du recourant d’être renvoyé dans son pays d’origine, une fois qu’il sera déterminé. 6. Le grief principal du recourant tient au fait que le TAPI, bien qu'il ait admis que ses conditions de détention violaient l'art. 3 CEDH, n'a pas prononcé sa libération immédiate. 6.1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Cst-GE). Selon le Tribunal fédéral, les garanties de la CEDH relatives aux conditions de détention n'offrent pas une protection plus étendue que celles garanties par la Constitution fédérale (ATF 145 I 318 consid. 2.1 ; 143 I 241 consid. 3.4).</w:t>
      </w:r>
    </w:p>
    <w:p>
      <w:r>
        <w:t>- 21/29 - A/1262/2023 6.2 La Cour européenne des droits de l'Homme (ci-après : CourEDH) a admis à de nombreuses reprises que les conditions de détention d'un individu pouvaient représenter un traitement dégradant voire inhumain, y compris en matière de détention administrative (voir p. ex. ACEDH M.S.S. c. Belgique et Grèce du 21 janvier 2011, req. 30696/09, § 230-234 ainsi que § 222 pour la jurisprudence antérieure de la CourEDH). La CourEDH a toujours souligné que, pour relever de l’art. 3 CEDH,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(ACEDH Kudła c. Pologne, Grande Chambre, Recueil 2000-XI , req. 30210/96, § 92-94 ; ACEDH Popov c. Russie du 13 juillet 2006, req. 26853/04, § 208). L'accès à l'air libre, notamment sous forme de promenade, doit être pris en compte (ACEDH Zuyev c. Russie du 19 février 2013, req. 16262/05, § 58). Lorsqu’on évalue les conditions de détention, il y a lieu de tenir compte de leurs effets cumulatifs ainsi que des allégations spécifiques du requérant (ACEDH Dougoz c. Grèce, Recueil 2001-II, req. 40907/98, § 46). La durée de détention d’une personne dans des conditions particulières doit elle aussi être prise en considération (ACEDH Géorgie c. Russie du 21 janvier 2021, Grande Chambre, req. 38263/08, § 240 ; Alver c. Estonie du 8 novembre 2005, req. 64812/01, § 50). 6.3 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 ce comité est habilité à examiner le traitement des détenus dans les États contractants (art. 2) ; après chaque visite, il établit un rapport sur les faits constatés à l'occasion de celle-ci et transmet son rapport qui contient les recommandations qu'il juge nécessaires (art. 10 ch. 1). 6.4 Le Comité des Ministres du Conseil de l'Europe, en application de l'art. 15 (b) du Statut du Conseil de l'Europe (RS 0.192.030), a adopté le 11 janvier 2006 la Recommandation Rec(2006)2 sur les Règles pénitentiaires européennes (ci-après : RPE), lesquelles s'inscrivent dans la lignée des précédentes recommandations établies dès 1989. Elles ont été révisées et modifiées par le Comité des ministres du Conseil de l'Europe le 1er juillet 2020. Ces règles prennent notamment en compte le travail mené par le CPT ainsi que les normes qu'il a développées dans ses rapports généraux, et visent à garantir des conditions de détention qui ne</w:t>
      </w:r>
    </w:p>
    <w:p>
      <w:r>
        <w:t>- 22/29 - A/1262/2023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 assurer la propreté (art. 21) ;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ces conditions d'hébergement doivent cependant être modulées en fonction des résultats d'analyses plus approfondies du système pénitentiaire ; le nombre d'heures passées en dehors de la cellule doit être pris en compte ; en tout état, ces chiffres ne doivent pas être considérés comme la norme. À titre d'exemple, le CPT considère comme étant souhaitable pour une cellule individuelle une taille de 9 à 10 m2. S'agissant de la literie, le CPT précise que celle-ci comprend tout l'équipement standard d'un lit (sommier, matelas et couverture). Les RPE – et a fortiori leur commentaire – ont le caractère de simples directives à l'intention des États membres du Conseil de l'Europe ; cependant, en tant que reflet des traditions juridiques communes à ces États, le Tribunal fédéral en tient compte de longue date dans la concrétisation de la liberté personnelle et des autres droits fondamentaux garantis par la Cst. et par la CEDH (ATF 123 I 112 consid. 4d/cc et la jurisprudence citée ; en dernier lieu: ATF 140 I 125 consid. 3.2 ; 139 IV 41 consid. 3.2). On parle à leur propos de « code de la détention</w:t>
      </w:r>
    </w:p>
    <w:p>
      <w:r>
        <w:t>- 23/29 - A/1262/2023 pénitentiaire » (Gérard PIQUEREZ/Alain MACALUSO, Procédure pénale suisse, 3e éd., 2011, n. 1265) ou de « soft law », néanmoins relativement contraignante pour les autorités.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 6.5 Selon l'art. 80 al. 4 LEI, l'autorité judiciaire qui examine la décision de détention de maintien ou de levée tient compte de la situation familiale de la personne détenue et des conditions d'exécution de la détention. 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(al. 4). 6.6 La Suisse a instauré une commission nationale de prévention de la torture (ci-après : CNPT ; art. 1 al. 1 de la loi fédérale sur la Commission de prévention de la torture du 20 mars 2009 – LCPT – RS 150.1). Parmi d'autres missions, la CNPT examine régulièrement la situation des personnes qui sont privées de liberté et inspecte régulièrement les lieux où ces personnes se trouvent ou pourraient se trouver, et formule des recommandations à l’intention des autorités compétentes afin d’améliorer le traitement et la situation des personnes privées de liberté et de prévenir la torture et autres peines ou traitements cruels, inhumains ou dégradants (art. 2 let. a et b LCPT). La CNPT s’acquitte de ses tâches en toute indépendance (art. 4 al. 1 LCPT). Elle a accès à tous les lieux de privation de liberté ainsi qu’à leurs installations et équipements, et peut visiter ces lieux sans préavis (art. 8 al. 2 LCPT). Les autorités compétentes examinent les propositions que la commission leur a adressées et émettent un avis sur leur réalisation (art. 9 al. 2 LCPT). Les trois dernières visites de C______ documentées sur le site de la CNPT (https://www.nkvf.admin.ch/nkvf/fr/home/publikationen/berichte-der-kontroll besuche/nach-kanton.html &gt; GE) ont eu lieu les 13 février 2017, 28 octobre 2019 et 17 décembre 2020.</w:t>
      </w:r>
    </w:p>
    <w:p>
      <w:r>
        <w:t>- 24/29 - A/1262/2023 Dans ses lettres au Conseil d'État consécutives aux deux dernières visites, la CNPT a constaté que l'infrastructure existante de C______ et le régime de détention n'étaient pas adaptés à la détention administrative ; la CNPT a enjoint aux autorités genevoises de ne plus utiliser l’établissement de C______ pour la détention administrative et à transférer les détenus administratifs dans un établissement destiné à cet effet (ibid.). Dans sa réponse à la CNPT consécutive à la visite de 2019, le conseiller d'État a indiqué qu'en cas de vote favorable du parlement sur le projet de nouvelle prison V_______, W_______ pourrait être convertie en établissement de détention administrative et C______ serait abandonné ; toutefois, dans la réponse consécutive à la visite de 2020, il est seulement question – dès lors que le Grand Conseil genevois avait entretemps refusé le projet V_______ –, outre les problématiques liées à la pandémie de Covid-19, de l'office cantonal de la détention a initié dans le courant de l'année 2020 des démarches en vue de la réalisation de travaux destinés à remédier à la situation en matière d'accès aux espaces extérieurs – une demande d’autorisation de construire serait déposée au printemps 2021 et les travaux devraient être achevés durant la première partie de l'année 2022 au plus tard (ibid.). 6.7 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de la CEDA.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Conformément à l’art. 18 CEDA, dès que possible et au plus tard le quatrième jour qui suit son entrée dans l’établissement, le détenu passe une visite médicale (al. 1). L’établissement organise un service médical qui pourvoit aux soins ambulatoires et aux soins d’urgence (al. 2). Des occupations et activités, promenade, correspondance et visites sont possibles, selon les modalités définies aux art. 19 ss CEDA. 6.8 Selon l’art. 1 RC______, l'établissement de détention administrative de C______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RC______, l’art. 7 reprenant les principes fixés à l’art. 14 CEDA. L’assistance médicale, les activités et la communication au sein de l’établissement sont réglés aux art. 20 ss</w:t>
      </w:r>
    </w:p>
    <w:p>
      <w:r>
        <w:t>- 25/29 - A/1262/2023 RC______. L’accès aux soins y est en particulier garanti par le biais d’une unité médicale mobile (art. 20 al. 3 RC______) et des transferts dans un établissement hospitalier pour raisons médicales sont possibles en cas de nécessité (al. 9). Des promenades et exercices physiques, visites ainsi qu’une assistance spirituelle et sociale sont notamment possibles (art. 33 ss RC______). Les art. 44 et suivants RC______ traitent des fouilles, procédures disciplinaires et voie de recours. 6.9 La légalité de la détention administrative au sein de l’établissement de C______ a été régulièrement confirmée par la chambre administrative, la dernière fois le 16 mars 2023 (ATA/268/2023 concernant M. N______, lequel venait alors d'entamer sa grève de la faim et indiquait vivre très mal sa détention). Cela étant, C______ s’est vu impartir par la chambre de céans un délai au 16 janvier 2023 pour installer une connexion internet (ATA/1218/2022 du 6 décembre 2022), étant rappelé qu’un tel accès pouvait être limité (ATA/83/2023 du 26 janvier 2023 consid. 9.4). Cet arrêt faisait suite à un arrêt récent du Tribunal fédéral, destiné à publication, dans lequel ce dernier avait analysé les conditions de détention administrative d’une personne étrangère détenue dans l’établissement de X_______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Dans l'ATA/1218/2022, la chambre de céans a retenu qu’à C______,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X_______, qui subissaient un enfermement en cellule dix-huit heures par jour (consid. 8f). 6.10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w:t>
      </w:r>
    </w:p>
    <w:p>
      <w:r>
        <w:t>- 26/29 - A/1262/2023 recourant dans d'autres locaux. Si la situation légale n'est pas rétablie dans un délai raisonnable, le recourant doit être libéré (ATF 122 II 299 consid. 8a ; arrêts du Tribunal fédéral 2C_765/2022 précité consid. 6.1 ; 2C_662/2022 du 8 septembre 2022 consid. 3.3 et les références citées ; ATA/1218/2022 précité consid. 8e). 6.11 En l'espèce, le TAPI a retenu que C______ satisfaisait aux exigences légales de l'art. 81 LEI en matière de respect des personnes détenues administrativement, bénéficiant notamment d'un service médical approprié, pourvoyant aux soins ambulatoires et d'urgence. Les problèmes dont se plaignaient M. A______ ne pouvaient a priori conduire à sa mise en liberté : les fouilles et leurs modalités sont prévues par la CEDA et le RC______ ; s’agissant des critiques liées à l’infrastructure, les carences relevées ne pouvaient en effet, en soi et prises individuellement, amener à considérer que sa détention administrative à C______ était incompatible avec la dignité humaine. Leur cumul et l’exacerbation de leur impact du fait de l’écoulement du temps et/ou d’événements externes, tels ceux du</w:t>
      </w:r>
    </w:p>
    <w:p>
      <w:r>
        <w:rPr>
          <w:b/>
        </w:rPr>
        <w:t>E. 8</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