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ATA/451/2015 vom 12. Mai 2015</w:t>
      </w:r>
    </w:p>
    <w:p>
      <w:r>
        <w:t>GE Cour de justice, 2015-05-12, FR</w:t>
      </w:r>
    </w:p>
    <w:p>
      <w:r>
        <w:rPr>
          <w:b/>
        </w:rPr>
        <w:t xml:space="preserve">Quelle: </w:t>
      </w:r>
      <w:r>
        <w:t>https://mcp.opencaselaw.ch/entscheid/ge_gerichte_ATA_451_2015</w:t>
      </w:r>
    </w:p>
    <w:p>
      <w:r>
        <w:t>FR: GE_GERICHTE ATA/451/2015 du 12 mai 2015</w:t>
      </w:r>
    </w:p>
    <w:p>
      <w:r>
        <w:t>IT: GE_GERICHTE ATA/451/2015 del 12 maggio 2015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juin 2013, notamment d’en détecter le caractère décisionnel et l’incidence que cela pouvait avoir sur le sort du recours encore pendant. Si la mère de l’enfant considérait, ainsi qu’elle y conclut devant la chambre de céans, que cette décision violait le droit de son fils à obtenir de l’État un dispositif d’accompagnement à mi-temps au sein d’une classe de l’enseignement ordinaire correspondant au niveau cognitif de l’enfant, il lui appartenait sans attendre de saisir d’un recours la chambre de céans. 9)</w:t>
      </w:r>
    </w:p>
    <w:p>
      <w:r>
        <w:t>Le recours sera déclaré irrecevable car tardif. Vu le prononcé du présent arrêt, la demande de mesures provisionnelles n’a plus d’objet. 10) Vue l’issue du recours, un émolument de CHF 500.- sera mis à la charge du recourant (art. 87 al. 1 LPA).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