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ATA/44/2018 vom 16. Januar 2018</w:t>
      </w:r>
    </w:p>
    <w:p>
      <w:r>
        <w:t>GE Cour de justice, 2018-01-16, FR</w:t>
      </w:r>
    </w:p>
    <w:p>
      <w:r>
        <w:rPr>
          <w:b/>
        </w:rPr>
        <w:t xml:space="preserve">Quelle: </w:t>
      </w:r>
      <w:r>
        <w:t>https://mcp.opencaselaw.ch/entscheid/ge_gerichte_ATA_44_2018</w:t>
      </w:r>
    </w:p>
    <w:p>
      <w:r>
        <w:t>FR: GE_GERICHTE ATA/44/2018 du 16 janvier 2018</w:t>
      </w:r>
    </w:p>
    <w:p>
      <w:r>
        <w:t>IT: GE_GERICHTE ATA/44/2018 del 16 gennaio 2018</w:t>
      </w:r>
    </w:p>
    <w:p>
      <w:pPr>
        <w:pStyle w:val="Heading2"/>
      </w:pPr>
      <w:r>
        <w:t>Erwägungen</w:t>
      </w:r>
    </w:p>
    <w:p>
      <w:r>
        <w:rPr>
          <w:b/>
        </w:rPr>
        <w:t>E. 12</w:t>
      </w:r>
    </w:p>
    <w:p>
      <w:r>
        <w:t>septembre 1985 (LPA – E 5 10), le délai de recours est de trente jours s’il s’agit d’une décision finale ou d’une décision en matière de compétence, et de dix jours s'il s'agit d'une autre décision – en particulier d'une décision incidente. Le délai court dès le lendemain de la notification de la décision (al. 3 1ère phr.). 2) a. Les délais de recours fixés par la loi sont des dispositions impératives de droit public. Ils ne sont, en principe, pas susceptibles d’être prolongés (art. 16 al. 1 1ère phrase LPA), restitués ou suspendus, si ce n’est par le législateur lui-même. Celui qui n’agit pas dans le délai prescrit est forclos et la décision en cause acquiert force obligatoire (ATA/1606/2017 du 12 décembre 2017 consid. 3b ;</w:t>
      </w:r>
    </w:p>
    <w:p>
      <w:r>
        <w:t>- 3/4 - A/4904/2017 ATA/509/2016 du 14 juin 2016 ; SJ 2000 I 22 consid. 2 p. 24). Le strict respect des délais légaux se justifie pour des raisons d’égalité de traitement et n’est pas constitutif de formalisme excessif (ATF 125 V 65 consid. 1; arrêt du Tribunal fédéral 6B_507/2011 du 7 février 2012 consid. 2.3).</w:t>
      </w:r>
    </w:p>
    <w:p>
      <w:r>
        <w:t>b. Les écrits doivent parvenir à l’autorité ou être remis à son adresse à un bureau de poste suisse ou à une représentation diplomatique ou consulaire suisse au plus tard le dernier jour du délai avant minuit (art. 17 al. 4 LPA).</w:t>
      </w:r>
    </w:p>
    <w:p>
      <w:r>
        <w:t>c.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 3)</w:t>
      </w:r>
    </w:p>
    <w:p>
      <w:r>
        <w:t>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w:t>
      </w:r>
    </w:p>
    <w:p>
      <w:r>
        <w:t>Comme cela ressort expressément du texte légal, cette disposition ne s'applique toutefois qu'aux délais fixés par l'autorité, et non aux délais légaux comme dans la présente espèce. 4)</w:t>
      </w:r>
    </w:p>
    <w:p>
      <w:r>
        <w:t>En l’occurrence, le recourant indique avoir reçu la décision attaquée le</w:t>
      </w:r>
    </w:p>
    <w:p>
      <w:r>
        <w:rPr>
          <w:b/>
        </w:rPr>
        <w:t>E. 13</w:t>
      </w:r>
    </w:p>
    <w:p>
      <w:r>
        <w:t>novembre 2017, sans plus d'explications. Il résulte néanmoins du suivi des envois de la Poste que la décision attaquée lui a été notifiée par pli recommandé, lequel a été réceptionné le 8 novembre 2017. Le délai de recours de trente jours commençait ainsi à courir le 9 novembre 2017 et venait à échéance le vendredi 8 décembre 2017 à minuit.</w:t>
      </w:r>
    </w:p>
    <w:p>
      <w:r>
        <w:t>Posté le 12 décembre 2017, le recours est ainsi tardif. 5)</w:t>
      </w:r>
    </w:p>
    <w:p>
      <w:r>
        <w:t>Le recourant n'invoque par ailleurs aucun cas de force majeure qui l'aurait empêché de déposer son acte de recours en temps voulu, considérant au contraire qu'il l'a déposé dans les temps. Le recours sera donc déclaré irrecevable, sans autre acte d'instruction conformément à l'art. 72 LPA. 6)</w:t>
      </w:r>
    </w:p>
    <w:p>
      <w:r>
        <w:t>Vu l'issue du litige, un émolument de CHF 250.- sera mis à la charge du recourant, qui succombe (art. 87 al. 1 LPA), et aucune indemnité de procédure ne sera allouée (art. 87 al. 2 LPA).</w:t>
      </w:r>
    </w:p>
    <w:p>
      <w:r>
        <w:t>* * * * *</w:t>
      </w:r>
    </w:p>
    <w:p>
      <w:r>
        <w:t>- 4/4 - A/4904/2017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