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ATA/449/2005 vom 26. April 2005</w:t>
      </w:r>
    </w:p>
    <w:p>
      <w:r>
        <w:t>GE Cour de justice, 2005-04-26, FR</w:t>
      </w:r>
    </w:p>
    <w:p>
      <w:r>
        <w:rPr>
          <w:b/>
        </w:rPr>
        <w:t xml:space="preserve">Quelle: </w:t>
      </w:r>
      <w:r>
        <w:t>https://mcp.opencaselaw.ch/entscheid/ge_gerichte_ATA_449_2005</w:t>
      </w:r>
    </w:p>
    <w:p>
      <w:r>
        <w:t>FR: GE_GERICHTE ATA/449/2005 du 26 avril 2005</w:t>
      </w:r>
    </w:p>
    <w:p>
      <w:r>
        <w:t>IT: GE_GERICHTE ATA/449/2005 del 26 aprile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Selon l’article 16d alinéa 1 lettre b de la loi fédérale sur la circulation routière du 12 décembre 1958 (RS 741.01 - LCR), le permis de conduire est retiré pour une durée indéterminée à la personne qui souffre d’une forme de dépendance le rendant inapte à la conduite.</w:t>
      </w:r>
    </w:p>
    <w:p>
      <w:r>
        <w:t>b. L’article 30 de l’ordonnance réglant l’admission des personnes et des véhicules à la circulation routière du 27 octobre 1976 (RS 741.51 OAC) permet de retirer à titre préventif le permis de conduire lorsqu’il existe des doutes sérieux quant à l’aptitude à conduire d’un conducteur.</w:t>
      </w:r>
    </w:p>
    <w:p>
      <w:r>
        <w:t>En l’espèce, les doutes du SAN reposent sur la seule déclaration faite par le recourant à la police le 28 mars 2005, dans le cadre d’une procédure ouverte pour infraction à la loi fédérale sur les stupéfiants contre un tiers, sans rapport avec la circulation routière. La lecture de cette déclaration ne permet pas de retenir une consommation actuelle et régulière d’un stupéfiant, quel qu’il soit. Aucun examen ni aucune analyse médicale n’ont été effectués qui auraient pu mettre en évidence une telle consommation. Le recourant n’apparaît pas en outre avoir d’antécédents en matière de circulation routière.</w:t>
      </w:r>
    </w:p>
    <w:p>
      <w:r>
        <w:t>Dans ces circonstances, le Tribunal administratif ne peut que constater que le SAN ne disposait pas d’éléments suffisants pour concevoir des doutes sérieux quant à l’aptitude à la conduite de M. J__________ et ordonner le retrait du permis de conduire de ce dernier à titre préventif, nonobstant recours, assorti de l’obligation de se soumettre à une expertise auprès de l’IUML.</w:t>
      </w:r>
    </w:p>
    <w:p>
      <w:r>
        <w:rPr>
          <w:b/>
        </w:rPr>
        <w:t>E. 3</w:t>
      </w:r>
    </w:p>
    <w:p>
      <w:r>
        <w:t>En conséquence, le recours sera admis et la décision attaquée annulée.</w:t>
      </w:r>
    </w:p>
    <w:p>
      <w:r>
        <w:t>Une indemnité de procédure de CHF 500.- sera allouée au recourant, à la charge de l’Etat de Genève.</w:t>
      </w:r>
    </w:p>
    <w:p>
      <w:r>
        <w:t>- 4/5 - A/1849/2005</w:t>
      </w:r>
    </w:p>
    <w:p>
      <w:r>
        <w:t>Vu l’issue du litige, l’Etat de Genève sera condamné au paiement d’un émolument de CHF 300.-.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d’encrage à l’exonération systématique de l’Etat de Genève de tout émolument de procédure (art. 87 LPA ; ATA/423/2005 du 14 juin 2005).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