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ATA/448/2023 vom 27. April 2023</w:t>
      </w:r>
    </w:p>
    <w:p>
      <w:r>
        <w:t>GE Cour de justice, 2023-04-27, FR</w:t>
      </w:r>
    </w:p>
    <w:p>
      <w:r>
        <w:rPr>
          <w:b/>
        </w:rPr>
        <w:t xml:space="preserve">Quelle: </w:t>
      </w:r>
      <w:r>
        <w:t>https://mcp.opencaselaw.ch/entscheid/ge_gerichte_ATA_448_2023</w:t>
      </w:r>
    </w:p>
    <w:p>
      <w:r>
        <w:t>FR: GE_GERICHTE ATA/448/2023 du 27 avril 2023</w:t>
      </w:r>
    </w:p>
    <w:p>
      <w:r>
        <w:t>IT: GE_GERICHTE ATA/448/2023 del 27 aprile 2023</w:t>
      </w:r>
    </w:p>
    <w:p>
      <w:pPr>
        <w:pStyle w:val="Heading2"/>
      </w:pPr>
      <w:r>
        <w:t>Erwägungen</w:t>
      </w:r>
    </w:p>
    <w:p>
      <w:r>
        <w:rPr>
          <w:b/>
        </w:rPr>
        <w:t>E. 36</w:t>
      </w:r>
    </w:p>
    <w:p>
      <w:r>
        <w:t>mois suivant l’entrée en force de la décision. 15) Le même jour, le PCTN a rendu deux autres décisions, l’une adressée à B______, constatant que la F______ avait été exploitée sous couvert d’un prête- nom et l’autre à M. H______, constatant qu’il avait eu recours à un prête-nom pour l’exploitation de cet établissement. Des mesures seraient prononcées à leur encontre dès l’entrée en force de la décision. 16) Le 7 novembre 2022, M. A______ a recouru auprès de la chambre administrative de la Cour de justice (ci-après : la chambre administrative) contre la décision précitée, concluant à son annulation, subsidiairement au renvoi de la cause au PCTN afin qu’il statue à nouveau. Il sollicitait préalablement la comparution personnelle des parties ainsi que l’audition de témoins.</w:t>
      </w:r>
    </w:p>
    <w:p>
      <w:r>
        <w:t>Les mesures d’instruction sollicitées étaient nécessaires, dans la mesure où les rapports sur lesquels était fondée la décision attaquée comportaient des erreurs et où le dossier du PCTN était incomplet et erroné. Les représentants de la société avaient sollicité à plusieurs reprises de pouvoir s’entretenir directement avec le service et s’exprimer sur les faits reprochés, ce qui leur avait été systématiquement refusé.</w:t>
      </w:r>
    </w:p>
    <w:p>
      <w:r>
        <w:t>- 8/19 - A/3704/2022</w:t>
      </w:r>
    </w:p>
    <w:p>
      <w:r>
        <w:t>L’intimé s’était basé sur des faits établis de manière lacunaire, en particulier sur le rapport établi suite au contrôle du 18 novembre 2021 qui contenait des erreurs. Il avait été exigé à tort de M. H______ qu’il signe ses déclarations – lesquelles n’avaient pas été fidèlement retranscrites – à l’emplacement réservé au propriétaire et/ou l’exploitant, ce qu’il n’était pas. Par ailleurs, ce rapport attribuait au précité des fonctions et tâches qui étaient en réalité exercées par M. A______, voire Mme C______. Les pièces produites avec les observations de M. A______ confirmaient que ce dernier était effectivement responsable des commandes, de la négociation des contrats à la livraison de la marchandise. Bien que le PCTN avait été invité à corriger les erreurs contenues dans le rapport, il n’y avait jamais donné suite. Lors du troisième contrôle le 2 juin 2022, M. H______ avait souhaité contacter M. A______ qui se trouvait à proximité et pouvait se rendre à la F______ en quelques minutes pour démontrer sa disponibilité en cas de besoin, ce qu’avait refusé l’inspecteur du PCTN, de sorte que les preuves n’avaient pas été administrées correctement.</w:t>
      </w:r>
    </w:p>
    <w:p>
      <w:r>
        <w:t>Tant le fondement que le résultat de la décision entreprise étaient arbitraires. Il était reproché à M. A______ en tant qu’administrateur et président de la société, d’agir comme prête-nom notamment pour lui-même, ce qui ne correspondait pas à l’usage illégal d’un prête-nom. Il existait un lien de subordination entre M. H______, employé de la société, et M. A______ qui disposait d’un pouvoir décisionnel et auquel les tâches du premier étaient soumises pour approbation. Le rôle d’exploitant de M. A______ était clair et compris tant du point de vue interne que de celui des tiers. Ses tâches correspondaient aux obligations légales et jurisprudentielles d’un exploitant. Il était usuel pour un exploitant d’assurer moins de présence que ses employés, ce d’autant plus lorsqu’il exploitait trois établissements, ce qui rendait difficile d’assurer une présence constante dans chacun. Dès lors qu’il n’était pas un employé, il n’y avait aucune raison qu’il figure sur leur planning. Le PCTN n’avait effectué que trois contrôles, ce qui ne suffisait pas pour affirmer que M. A______ n’était jamais présent. De plus, sur les dix contrôles opérés par la police, M. H______ n’avait été présent que lors de cinq d’entre eux, les six autres ayant été effectués en présence de M. A______, le cas échéant d’autres employés. Enfin, alors que les horaires de présence de l’exploitant au sein de la F______ étaient du mardi au samedi de 18h00 à 02h00, le PCTN avait procédé à deux de ses trois contrôles à 17h10, respectivement 17h20, soit bien avant l’arrivée de M. A______ dont la présence n’était ni attendue ni requise et hors des heures dans lesquelles les risques de survenance de troubles à l’ordre public étaient accrus. 17) Le même jour et dans des termes similaires, B______ et M. H______ ont également recouru auprès de la chambre administrative contre les décisions dont ils faisaient l’objet. Leurs recours ont été enregistrés sous les numéros de cause A/3703/2022, respectivement A/3705/2022.</w:t>
      </w:r>
    </w:p>
    <w:p>
      <w:r>
        <w:t>- 9/19 - A/3704/2022 18) Le 12 décembre 2022, le PCTN a conclu au rejet du recours, sollicitant préalablement l’audition, en qualité de témoins, de l’inspectrice et des deux inspecteurs ayant procédé aux contrôles des 18 novembre 2021, 22 février 2022 et 3 juin 2022.</w:t>
      </w:r>
    </w:p>
    <w:p>
      <w:r>
        <w:t>M. H______, n’avait pas été engagé pour remplacer occasionnellement ou seconder M. A______, titulaire d’autorisations pour l’exploitation de trois établissements, mais se rendait quotidiennement dans l’établissement, jouait un rôle prépondérant dans la gestion de celui-ci et en assumait personnellement l’exploitation, en binôme avec Mme C______ qui s’occupait de la quasi-totalité des tâches administratives liées à la quinzaine d’employés. Le recourant n’avait pas fourni suffisamment d’éléments probants quant à une gestion personnelle et effective de la F______ par M. A______ ou permettant de remettre en cause le contenu des rapports établis suite aux nombreux contrôles opérés par la police et le PCTN. Ses explications étaient contredites par les constats réalisés à maintes reprises par plus d’une vingtaine de policiers ainsi que par trois inspecteurs du PCTN. Aucune pièce ne prouvait les heures de présence M. A______, qui ne respectait pas les horaires annoncés au PCTN et dont le cahier des charges n’avait pas été produit alors qu’il était lié par un contrat de travail avec B______. Le fait qu’il soit chargé des relations avec les autorités administratives et certains partenaires commerciaux, par le biais de sa position d’administrateur-président de la société, ou encore des commandes et de la négociation et conclusion de contrats ne suffisait pas à retenir une maîtrise effective et personnelle de la gestion de l’établissement. Il n’avait pas fourni d’éléments susceptibles d’étayer ses explications concernant, par exemple, les commandes de marchandises, des contrats, des factures, des paiements, des documents comptables ou d’inventaires signés par M. A______, étant relevé que les attestations de tiers en relation avec la F______ comportaient toutes la même erreur de date et le même corps de texte.</w:t>
      </w:r>
    </w:p>
    <w:p>
      <w:r>
        <w:t>Le recourant avait ainsi contrevenu à l’art. 19 LRDBHD en mettant son diplôme de cafetier à disposition de M. H______ pour la gestion de l’établissement.</w:t>
      </w:r>
    </w:p>
    <w:p>
      <w:r>
        <w:t>Deux requêtes en changement d’exploitant, en la personne de Mme C______, avaient été déposées le 13 octobre 2022 pour la F______ et le G______. Le PCTN avait toutefois procédé à la suspension de leur traitement jusqu’à droit connu dans les trois procédures pendantes devant la chambre administrative.</w:t>
      </w:r>
    </w:p>
    <w:p>
      <w:r>
        <w:t>Des pièces relatives à des contrôles effectués par la police les 23 juin et 23 septembre 2022 étaient notamment produites (pièces 14 à 15). 19) Le 20 janvier 2023, le recourant a répliqué, concluant à l’irrecevabilité des pièces précitées ainsi que des allégués s’y référant.</w:t>
      </w:r>
    </w:p>
    <w:p>
      <w:r>
        <w:t>- 10/19 - A/3704/2022</w:t>
      </w:r>
    </w:p>
    <w:p>
      <w:r>
        <w:t>Mme C______ était titulaire du diplôme de cafetier, raison pour laquelle la requête en changement d’exploitant la désignait pour l’exploitation future de l’établissement. Cette requête était indépendante de la décision attaquée, le dossier y relatif étant en préparation depuis plusieurs mois. Le PCTN avait toutefois attendu le dépôt des recours de B______ et MM. A______ et H______ pour suspendre la procédure y relative sans raison ni explication.</w:t>
      </w:r>
    </w:p>
    <w:p>
      <w:r>
        <w:t>Le fait que le directeur de l’établissement était présent un nombre d’heures hebdomadaires trois fois plus élevé que ce qu’exigeait la loi au minimum pour un exploitant, qui n’était pas tenu d’assurer une présence de l’ouverture à la fermeture, prouvait que M. H______ n’exploitait pas la F______. Le cahier des charges de M. H______ était exhaustif et ressortait de son contrat de travail. Les tâches qu’il assumait étaient typiques de celles d’un directeur de bar, tout comme celles de M. A______ l’étaient pour un exploitant. Les pièces produites démontraient que ce dernier assurait une gestion personnelle et effective de l’établissement. Le fait que les attestations produites comportaient toutes la même erreur de date ne réduisait pas la force probante usuellement accordées aux attestations signées à la main. Il n’existait ainsi aucun indice portant à croire que M. A______ servait de prête-nom à M. H______. 20) Le 1er février 2023, la juge déléguée a invité les parties à se déterminer sur la question d’une éventuelle suspension des trois procédures en cours, compte tenu de la requête en changement d’exploitant pendante devant le PCTN. 21) Le 15 février 2023, le PCTN s’est opposé à la suspension des procédures A/3703/2022, A/3704/2022 et A/3705/2022. La requête en changement d’exploitant avait été déposée après la notification des décisions querellées, lesquelles n’étaient pas encore exécutoires. Aucune annonce de cessation d’exploitation de l’établissement par M. A______ ni de requête en changement de propriétaire n’avait été déposée, étant relevé que Mme C______ était également administratrice de B______, disposant d’une signature collective à deux. Dans ces circonstances, le PCTN n’avait eu d’autre choix que de suspendre le traitement de la requête en changement d’exploitant, l’issue des procédures en cours étant déterminante pour la suite à donner à cette requête. 22) Le même jour, le recourant a indiqué ne pas s’opposer à la suspension des procédures. 23) Le 3 mars 2023, le recourant a conclu à ce qu’il soit ordonné au PCTN de statuer sur la requête en changement d’exploitant ainsi qu’à la suspension des procédures A/3703/2022, A/3704/2022 et A/3705/2022. 24) Sur quoi, les parties ont été informées que la cause était gardée à juger.</w:t>
      </w:r>
    </w:p>
    <w:p>
      <w:r>
        <w:t>- 11/19 - A/3704/2022 25) B______ et MM. A______ et H______ ont chacun eu accès aux dossiers concernant les autres procédures dans le cadre de l'instruction de leurs recours respectifs.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invoquant le refus de l'intimé de le recevoir en entretien avec Mme C______ et M. H______, sollicite la comparution personnelle des parties et l’audition de témoins. L’intimé conclut également à l’audition de témoins.</w:t>
      </w:r>
    </w:p>
    <w:p>
      <w:r>
        <w:t>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et de participer à l'administration des preuves essentielles ou à tout le moins de s'exprimer sur son résultat, lorsque cela est de nature à influer sur la décision à rendre (ATF 145 I 73 consid. 7.2.2.1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En outre, il n'implique pas le droit d'être entendu oralement, ni celui d'obtenir l'audition de témoins (ATF 134 I 140 consid. 5.3 ; 130 II 425 consid. 2.1).</w:t>
      </w:r>
    </w:p>
    <w:p>
      <w:r>
        <w:t>b.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w:t>
      </w:r>
    </w:p>
    <w:p>
      <w:r>
        <w:t>- 12/19 - A/3704/2022 le prononcé de la décision litigieuse (ATA/244/2020 du 3 mars 2020 consid. 7a et les références citées).</w:t>
      </w:r>
    </w:p>
    <w:p>
      <w:r>
        <w:t>c. En l’espèce, le recourant a eu l’occasion de se déterminer à plusieurs reprises sur les faits qui lui sont reprochés, tant auprès de l’intimé que par-devant la chambre de céans. Il ne précise pas en quoi les mesures d’instruction qu’il sollicite iraient au-delà des allégations contenues dans ses écritures ou des pièces figurant au dossier, étant rappelé que le droit d'être entendu ne confère pas de droit à être entendu oralement, la procédure administrative étant en principe écrite (art. 18 LPA).</w:t>
      </w:r>
    </w:p>
    <w:p>
      <w:r>
        <w:t>De même, l’intimé ne précise pas quels éléments serait susceptible d’apporter l’audition des témoins qu’il sollicite, étant relevé qu’il a également pu faire valoir son point de vue en produisant ses écritures et son dossier, ainsi qu’en se déterminant sur les écritures du recourant.</w:t>
      </w:r>
    </w:p>
    <w:p>
      <w:r>
        <w:t>Dans ces circonstances et dès lors que le dossier en mains de la chambre de céans contient toutes les pièces lui permettant de trancher le litige en connaissance de cause, il n’y a pas lieu de procéder à d’autres actes d’enquête. Pour les mêmes motifs, il ne peut être déduit du refus de l’intimé de donner suite à la demande d’entretien du recourant une violation de son droit d’être entendu, étant rappelé que l’occasion de déposer des observations écrites lui a été donnée à de multiples reprises. 3)</w:t>
      </w:r>
    </w:p>
    <w:p>
      <w:r>
        <w:t>Le recourant sollicite la suspension de la présente procédure et conclut à ce qu’il soit ordonné à l’intimé de statuer sur sa requête en changement d’exploitant du 13 octobre 2022, tandis que l’intimé s’y oppose.</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w:t>
      </w:r>
    </w:p>
    <w:p>
      <w:r>
        <w:t>b. En l’espèce, la société propriétaire de l’établissement a déposé sa requête en changement d’exploitant après que la décision querellée lui a été notifiée. Bien que cette dernière, de nature constatatoire, ne soit pas encore exécutoire vu le recours interjeté, l’issue de la présente procédure n’apparaît pas dépendante de l’issue donnée à la requête précitée.</w:t>
      </w:r>
    </w:p>
    <w:p>
      <w:r>
        <w:t>- 13/19 - A/3704/2022</w:t>
      </w:r>
    </w:p>
    <w:p>
      <w:r>
        <w:t>Il n’y a en conséquence pas lieu de prononcer la suspension de la présente procédure ni celle des deux procédures connexes, étant précisé qu'une suspension au sens de l'art. 78 LPA n'est pas envisageable en l'espèce, faute d'accord des parties en ce sens ou de réalisation de l'une des autres hypothèses de cette disposition.</w:t>
      </w:r>
    </w:p>
    <w:p>
      <w:r>
        <w:t>Au surplus, la conclusion du recourant visant à ordonner à l’intimé de statuer sur sa requête en changement d’exploitant est exorbitante à l’objet du présent litige, de sorte qu’elle sera déclarée irrecevable. 4)</w:t>
      </w:r>
    </w:p>
    <w:p>
      <w:r>
        <w:t>Le recourant conclut à l’irrecevabilité des pièces 14 à 15 produites par le PCTN à l’appui de ses déterminations du 12 décembre 2022 ainsi que des allégués s’y référant.</w:t>
      </w:r>
    </w:p>
    <w:p>
      <w:r>
        <w:t>a. 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w:t>
      </w:r>
    </w:p>
    <w:p>
      <w:r>
        <w:t>b. En l’espèce, les pièces en cause concernent des contrôles effectués par la police les 23 juin et 23 septembre 2022, soit postérieurement à la période à laquelle se réfère la décision attaquée. Exorbitantes à l’objet du litige, ces pièces seront ainsi déclarées irrecevables et il ne sera pas tenu compte des allégués de faits qui s’y rapportent. 5)</w:t>
      </w:r>
    </w:p>
    <w:p>
      <w:r>
        <w:t>Le recourant se plaint de ce que l’intimé aurait établi de manière lacunaire les faits ayant conduit à la décision attaquée, laquelle serait infondée et entachée d’arbitraire.</w:t>
      </w:r>
    </w:p>
    <w:p>
      <w:r>
        <w:t>a. La LRDBHD règle les conditions d'exploitation des entreprises vouées à la restauration et/ou au débit de boissons à consommer sur place, à l'hébergement, ou encore au divertissement public (art. 1 al. 1 LRDBHD).</w:t>
      </w:r>
    </w:p>
    <w:p>
      <w:r>
        <w:t>L'art. 8 LRDBHD soumet l'exploitation de toute entreprise vouée à la restauration et au débit de boissons à l'obtention préalable d'une autorisation d'exploiter (al. 1), qui doit être requise lors de chaque changement d'exploitant ou de propriétaire de l'entreprise ou de modification des conditions de l'autorisation antérieure (al. 2 ; art. 18 al. 1 let. a du règlement d'exécution de la loi sur la restauration, le débit de boissons, l'hébergement et le divertissement du 28 octobre 2015 - RRDBHD - I 2 22.01).</w:t>
      </w:r>
    </w:p>
    <w:p>
      <w:r>
        <w:t>Le diplôme dont doit être titulaire l'exploitant, attestant de son aptitude à exploiter et gérer une entreprise soumise à la LRDBHD (art. 9 let. c LRDBHD), est strictement personnel et intransmissible (art. 19 al. 1 LRDBHD). Il est interdit à son titulaire de servir de prête-nom pour l'exploitation d'une entreprise soumise à</w:t>
      </w:r>
    </w:p>
    <w:p>
      <w:r>
        <w:t>- 14/19 - A/3704/2022 la LRDBHD, sous peine des mesures et sanctions prévues par celle-ci (art. 19 al. 2 LRDBHD).</w:t>
      </w:r>
    </w:p>
    <w:p>
      <w:r>
        <w:t>L'autorisation d'exploiter est délivrée si l'exploitant est titulaire du diplôme attestant de son aptitude à exploiter et gérer une entreprise soumise à la présente loi (art. 9 let. c LRDBHD). Elle est délivrée à condition que l'exploitant, notamment,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(art. 9 let. e LRDBHD).</w:t>
      </w:r>
    </w:p>
    <w:p>
      <w:r>
        <w:t>b. Le prête-nom vise un comportement, prohibé par la loi,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 (art. 3 let. s LRDBHD).</w:t>
      </w:r>
    </w:p>
    <w:p>
      <w:r>
        <w:t>Au titre des droits et obligations des exploitants et des propriétaires d'entreprises vouées à la restauration et au débit de boissons, l'art. 22 LRDBHD prévoit que l'exploitation de l'entreprise ne peut être assurée que par la personne qui est au bénéfice de l'autorisation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w:t>
      </w:r>
    </w:p>
    <w:p>
      <w:r>
        <w:t>L'art. 40 RRDBHD prévoit que l'obligation de gérer l'entreprise de façon personnelle et effective est réalisée aux conditions cumulatives suivantes (al. 3) : l'exploitant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15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(al. 4).</w:t>
      </w:r>
    </w:p>
    <w:p>
      <w:r>
        <w:t>- 15/19 - A/3704/2022</w:t>
      </w:r>
    </w:p>
    <w:p>
      <w:r>
        <w:t>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exploite effectivement l'entreprise autorisée (exposé des motifs relatif au PL 11'282, p. 76 ; ATA/1214/2018 du 13 novembre 2018 consid. 2c ; ATA/262/2018 du 20 mars 2018 consid. 4d).</w:t>
      </w:r>
    </w:p>
    <w:p>
      <w:r>
        <w:t>c. Selon la jurisprudence,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(ATA/1330/2019 du 3 septembre 2019 et les références citées).</w:t>
      </w:r>
    </w:p>
    <w:p>
      <w:r>
        <w:t>Une présence limitée à une heure par jour et à une activité de s'occuper des commandes du restaurant ne remplissent pas les critères légaux et jurisprudentiels d'une gestion personnelle et effective d'un établissement public (ATA/1330/2019 précité).</w:t>
      </w:r>
    </w:p>
    <w:p>
      <w:r>
        <w:t>d. Selon l'art. 60 LRDBHD, le département est l'autorité compétente pour décider des mesures et sanctions relatives à l'application de la LRDBHD (al.1). Tout rapport établi par la police, ou par tout autre agent de la force publique habilité à constater les infractions à la LRDBHD, est transmis sans délai au département (al. 2). L'art. 3 RRDBHD précise que le département de la sécurité, de l'emploi et de la santé est chargé de l'application de la LRDBHD et du RRDBHD et qu’il délègue cette compétence au PCTN (al. 1 et 2).</w:t>
      </w:r>
    </w:p>
    <w:p>
      <w:r>
        <w:t>L'art. 46 RRDBHD prévoit que le PCTN procède à des contrôles réguliers (al. 1). Il s'assure que l'exploitation est dûment autorisée, que les conditions légales et réglementaires, ainsi que les conditions d'exploitation, sont respectées par les exploitants (al. 2). Les autorités de la police cantonale et les agents de police municipale ont les compétences de contrôle visées à l'art. 46 al. 2 RRDBHD (al. 5). Sur demande du PCTN, ils procèdent en outre, à des contrôles ciblés (al. 6).</w:t>
      </w:r>
    </w:p>
    <w:p>
      <w:r>
        <w:t>De jurisprudence constante, la chambre administrative accorde généralement valeur probante aux constatations figurant dans un rapport de police, établi par des agents assermentés (ATA/625/2021 du 15 juin 2021 consid. 3d ; ATA/333/2020 du 7 avril 2020 consid. 2d et les références citées), sauf si des éléments permettent de s’en écarter.</w:t>
      </w:r>
    </w:p>
    <w:p>
      <w:r>
        <w:t>- 16/19 - A/3704/2022</w:t>
      </w:r>
    </w:p>
    <w:p>
      <w:r>
        <w:t>e. L'art. 64 LRDBHD prévoit les mesures en cas de violation de l'interdiction de prête-nom : le département prononce la suspension, pour une durée de trente- six mois, de la validité du diplôme dont le titulaire sert de prête-nom pour l'exploitation d'une entreprise (al. 1). Le département retire l'autorisation d'exploiter et ordonne la fermeture immédiate de l'entreprise, en application de l'art. 61 (al. 2). Le département ne peut entrer en matière sur une nouvelle demande d'autorisation de la personne ayant servi de prête-nom, du propriétaire de l'entreprise ou de toute autre personne qui a eu recours à un prête-nom pendant un délai de trente-six mois à compter du jour où la décision visée à l'al. 2 est entrée en force (al. 3).</w:t>
      </w:r>
    </w:p>
    <w:p>
      <w:r>
        <w:t>D'autres mesures peuvent s'ajouter, à l'instar notamment d'une amende administrative (art. 65 LRDBHD).</w:t>
      </w:r>
    </w:p>
    <w:p>
      <w:r>
        <w:t>f.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et les arrêts cités). 6)</w:t>
      </w:r>
    </w:p>
    <w:p>
      <w:r>
        <w:t>En l’espèce, il ressort du dossier que l’établissement concerné a fait l’objet, sur une période de moins de quatre ans, d’une douzaine de contrôles opérés tant par la police que par des inspecteurs du PCTN. L’exploitant autorisé n’a été présent sur place que lors d’un seul de ces contrôles. Il était en particulier absent à l’occasion des trois passages du PCTN entre les 18 novembre 2021 et 3 juin 2022. L’absence de l’exploitant autorisé en raison de vacances ou lors de contrôles effectués hors de son horaire de présence, au demeurant toujours moins d’une heure avant l’heure annoncée, ou encore le fait qu’il pouvait se rendre rapidement sur place sur appel, s’ils sont admissibles, ne permettent pas de remettre en cause le constat selon lequel dans la grande majorité des cas, M. H______ s’est présenté en l’absence de M. A______ comme le responsable sur place en sa qualité de directeur et manager de l’établissement.</w:t>
      </w:r>
    </w:p>
    <w:p>
      <w:r>
        <w:t>Lors des trois contrôles opérés par le PCTN, M. H______ a répondu aux questions des inspecteurs et ses déclarations ont été protocolées. Il a notamment décrit le fonctionnement de la F______, son rôle dans la gestion et l’organisation de l’établissement, les tâches qu’il assumait, respectivement celles qui étaient assumées par M. A______ et Mme C______. Ce n’est que lorsque B______, M. A______ et M. H______, représentés par la même avocate, ont transmis leurs déterminations au PCTN suite aux rapports établis, que ces déclarations ont été remises en cause. Si les explications alors fournies par les précités entrent en</w:t>
      </w:r>
    </w:p>
    <w:p>
      <w:r>
        <w:t>- 17/19 - A/3704/2022 contradiction avec celles données par M. H______ lors des contrôles, elles ne sont pas suffisamment étayées. Par ailleurs,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ATA/1325/2021 du 3 décembre 2021 consid. 6a et les références citées). L’autorité intimée était ainsi fondée à retenir les premières déclarations de M. H______. Enfin, le fait que ce dernier aurait été conduit à signer ses déclarations à un emplacement réservé à l’exploitant ou au propriétaire de l’établissement ne s’avère pas pertinent, dans la mesure où l’intimé ne le lui reproche pas dans la décision querellée ni ne se fonde sur ce motif.</w:t>
      </w:r>
    </w:p>
    <w:p>
      <w:r>
        <w:t>Compte tenu du dossier ainsi que des explications et pièces fournies par B______, MM. A______ et H______, il peut être admis que M. A______, administrateur de la société propriétaire, a contribué à la création de la Maison Blakii et est impliqué dans le développement cet établissement. Le précité se trouve au bénéfice d’autorisations pour l’exploitation de deux autres établissements, soit trois au total, ce qui a pour conséquence l’impossibilité de consacrer l’entier de son temps à la F______. Cela ne lui est d’ailleurs pas reproché. Il ne ressort enfin pas qu’il exercerait une autre activité professionnelle.</w:t>
      </w:r>
    </w:p>
    <w:p>
      <w:r>
        <w:t>Force est toutefois de constater que les autres conditions cumulatives de l'obligation de gérer l'entreprise de façon personnelle et effective au sens de l’art. 40 al. 3 RRDBHD ne sont pas réalisées. En effet, selon les constatations opérées tant par les agents de police que les inspecteurs du PCTN, qu’il n’y a pas lieu de remettre en cause en l’absence d’éléments contraire probants, il appert que M. A______ n’assure pas une présence régulière au sein de la F______ durant les horaires d’exploitation ni aux heures durant lesquelles il existe un risque accru de survenance de troubles à l’ordre public. Il apparaît également que M. H______ gère de manière effective et dirige de fait l’établissement. Celui-ci est présent plus d’une quarantaine d’heures par semaine et ne travaille pas selon un horaire fixe. Il assure le fonctionnement opérationnel de l’établissement, étant notamment chargé de la logistique, de la relation avec la clientèle, de la gestion de l’équipe, de fixer les horaires de travail, de le répartir entre les employés, d’exercer une surveillance sur la qualité de leur travail, d’effectuer les commandes et réceptionner la marchandise, de fixer les prix, de procéder aux inventaires ou encore de contrôler la caisse. Par ailleurs, la quasi-totalité des tâches administratives liées à la gestion du personnel ainsi qu’à la bonne marche des affaires est assumée par Mme C______.</w:t>
      </w:r>
    </w:p>
    <w:p>
      <w:r>
        <w:t>Compte tenu de ce qui précède, c’est sur la base de faits établis de manière non critiquable, sans abuser de son pouvoir d’appréciation et sans verser dans l’arbitraire que le PCTN a retenu que la F______ n’était pas gérée de façon</w:t>
      </w:r>
    </w:p>
    <w:p>
      <w:r>
        <w:t>- 18/19 - A/3704/2022 personnelle et effective par M. A______ au sens de l’art. 22 LRDBHD. Au contraire, l’exploitation est concrètement assumée par M. H______, lequel n’est pas au bénéfice d’une autorisation d’exploiter l’établissement au sens de l’art. 8 LRDBHD ni d’un diplôme attestant de son aptitude à exploiter et gérer une entreprise soumise à la loi au sens de l’art. 9 let. c LRDBHD. Le PCTN a ainsi constaté conformément au droit que les deux précités et B______ se sont servis de M. A______ comme prête-nom pour l'exploitation de l’établissement.</w:t>
      </w:r>
    </w:p>
    <w:p>
      <w:r>
        <w:t>Mal fondé, le recours sera rejeté. 7)</w:t>
      </w:r>
    </w:p>
    <w:p>
      <w:r>
        <w:t>Vu l’issue du litige, un émolument de CHF 1'000.-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