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ATA/448/2020 vom 7. Mai 2020</w:t>
      </w:r>
    </w:p>
    <w:p>
      <w:r>
        <w:t>GE Cour de justice, 2020-05-07, FR</w:t>
      </w:r>
    </w:p>
    <w:p>
      <w:r>
        <w:rPr>
          <w:b/>
        </w:rPr>
        <w:t xml:space="preserve">Quelle: </w:t>
      </w:r>
      <w:r>
        <w:t>https://mcp.opencaselaw.ch/entscheid/ge_gerichte_ATA_448_2020</w:t>
      </w:r>
    </w:p>
    <w:p>
      <w:r>
        <w:t>FR: GE_GERICHTE ATA/448/2020 du 7 mai 2020</w:t>
      </w:r>
    </w:p>
    <w:p>
      <w:r>
        <w:t>IT: GE_GERICHTE ATA/448/2020 del 7 maggio 2020</w:t>
      </w:r>
    </w:p>
    <w:p>
      <w:pPr>
        <w:pStyle w:val="Heading2"/>
      </w:pPr>
      <w:r>
        <w:t>Regeste</w:t>
      </w:r>
    </w:p>
    <w:p>
      <w:r>
        <w:t>Résumé: Confirmation de l’exclusion d’un soumissionnaire dont l’offre ne respectait pas les exigences des documents d’appel d’offres, dont notamment le cahier de soumission et le cahier des charges. Dès lors que son exclusion est confirmée, son recours contre la décision d’interruption du marché doit être déclaré irrecevable, faute d’intérêt digne de protection.</w:t>
      </w:r>
    </w:p>
    <w:p>
      <w:pPr>
        <w:pStyle w:val="Heading2"/>
      </w:pPr>
      <w:r>
        <w:t>Erwägungen</w:t>
      </w:r>
    </w:p>
    <w:p>
      <w:r>
        <w:rPr>
          <w:b/>
        </w:rPr>
        <w:t>E. 12</w:t>
      </w:r>
    </w:p>
    <w:p>
      <w:r>
        <w:t>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(ATA/1019/2018 du 2 octobre 2018 consid. 3a et les références citées).</w:t>
      </w:r>
    </w:p>
    <w:p>
      <w:r>
        <w:t>b.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ATA/516/2018 du 29 mai 2018 consid. 2b). Il dispose d’un intérêt juridique lorsqu’il avait, avant la conclusion du contrat des chances raisonnables de se voir attribuer le marché en cas d’admission de son recours (ATF 141 II 14 consid. 4.6 ; arrêt du Tribunal fédéral 2C_203/2014 du 9 mai 2015 consid. 2.1). Cet intérêt existe notamment lorsque le soumissionnaire évincé avait été classé au deuxième rang derrière l’adjudicataire et qu’il aurait, en cas d’admission de son recours, disposé d’une réelle chance d’obtenir le marché (ATF 141 II 14 consid. 4.1 ; arrêts du Tribunal fédéral 2D_39/2014 du 26 juillet 2014 consid. 1.1 et 2C_346/2013 du 20 janvier 2014 consid. 1.4.1).</w:t>
      </w:r>
    </w:p>
    <w:p>
      <w:r>
        <w:t>c. Le cas d’une procédure définitivement interrompue doit être traité par analogie comme un contrat conclu. L’autorité de recours constate l’illicéité de la décision lorsque le recours est fondé. Cette décision ouvre la voie à une demande de dédommagement (ATF 134 II 192 consid. 2.3 = SJ 2009 I 197, p. 203 ; arrêt du Tribunal fédéral 2D_43/2015 du 10 décembre 2015 consid. 1.3.2 ; ATA/437/2019 du 16 avril 2019 consid. 3c ; Dominik KUONEN, Das Einladungsverfahren im öffentlichen Beschaffungsrecht, 2005, p. 209).</w:t>
      </w:r>
    </w:p>
    <w:p>
      <w:r>
        <w:t>- 9/15 - A/3572/2019</w:t>
      </w:r>
    </w:p>
    <w:p>
      <w:r>
        <w:t>d. En l’espèce, en tant que soumissionnaire exclu, la recourante conserverait en principe un intérêt juridique à faire annuler la décision d’exclusion afin d'être réintégrée dans la procédure d'adjudication, son recours lui permettant d'obtenir une éventuelle indemnisation, si la décision d’interruption de la procédure ‒ contre laquelle elle forme également recours ‒ devait être jugée illicite. Toutefois, à la lecture de ses conclusions, la recourante n’en a pris aucune relative à l’octroi d’une indemnité, de sorte que sa qualité pour recourir contre la décision d’exclusion apparaît douteuse. Cette question souffrira toutefois de demeurer indécise en raison de ce qui suit. 4)</w:t>
      </w:r>
    </w:p>
    <w:p>
      <w:r>
        <w:t>L’intimée justifie l’exclusion de la recourante de la procédure par le fait que son offre avait été déposée de manière globale, sans distinction de prix pour les différents lots, ce qui était contraire aux documents de l’appel d’offres. L’offre de la recourante ne permettait en particulier pas de procéder à une évaluation individuelle par lot. 5) a. L'AIMP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dans toutes les phases de la procédure (art. 16 al. 2 du règlement sur la passation des marchés publics du</w:t>
      </w:r>
    </w:p>
    <w:p>
      <w:r>
        <w:rPr>
          <w:b/>
        </w:rPr>
        <w:t>E. 17</w:t>
      </w:r>
    </w:p>
    <w:p>
      <w:r>
        <w:t>décembre 2019 consid. 11 ; ATA/492/2018 du 22 mai 2018 consid. 18).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