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ATA/448/2016 vom 31. Mai 2016</w:t>
      </w:r>
    </w:p>
    <w:p>
      <w:r>
        <w:t>GE Cour de justice, 2016-05-31, FR</w:t>
      </w:r>
    </w:p>
    <w:p>
      <w:r>
        <w:rPr>
          <w:b/>
        </w:rPr>
        <w:t xml:space="preserve">Quelle: </w:t>
      </w:r>
      <w:r>
        <w:t>https://mcp.opencaselaw.ch/entscheid/ge_gerichte_ATA_448_2016</w:t>
      </w:r>
    </w:p>
    <w:p>
      <w:r>
        <w:t>FR: GE_GERICHTE ATA/448/2016 du 31 mai 2016</w:t>
      </w:r>
    </w:p>
    <w:p>
      <w:r>
        <w:t>IT: GE_GERICHTE ATA/448/2016 del 31 maggio 2016</w:t>
      </w:r>
    </w:p>
    <w:p>
      <w:pPr>
        <w:pStyle w:val="Heading2"/>
      </w:pPr>
      <w:r>
        <w:t>Erwägungen</w:t>
      </w:r>
    </w:p>
    <w:p>
      <w:r>
        <w:rPr>
          <w:b/>
        </w:rPr>
        <w:t>E. 1</w:t>
      </w:r>
    </w:p>
    <w:p>
      <w:r>
        <w:t>La compétence pour ordonner la restitution de l'effet suspensif au recours appartient au président de la chambre administrative, respectivement au vice-président, ou en cas d'empêchement de ceux-ci, à un juge (art. 7 du règlement interne de la chambre administrative du 21 décembre 2010, entré en vigueur le 1er janvier 2011).</w:t>
      </w:r>
    </w:p>
    <w:p>
      <w:r>
        <w:rPr>
          <w:b/>
        </w:rPr>
        <w:t>E. 2</w:t>
      </w:r>
    </w:p>
    <w:p>
      <w:r>
        <w:t>Aux termes de l'art. 21 de la loi sur la procédure administrative du 12 septembre 1985 (LPA - E 5 10 ; mesures provisionnelles) - loi applicable par renvoi des art. 35 et 37 du règlement relatif à la procédure d’opposition au sein de l’Université de Genève du 16 mars 2009 (RIO-UNIGE) -, l’autorité peut d’office ou sur requête ordonner des mesures provisionnelles en exigeant au besoin des sûretés (al. 1) ; ces mesures sont ordonnées par le président s’il s’agit d’une autorité collégiale ou d’une juridiction administrative (al. 2).</w:t>
      </w:r>
    </w:p>
    <w:p>
      <w:r>
        <w:t>En vertu de l'art. 66 LPA (effet suspensif),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3</w:t>
      </w:r>
    </w:p>
    <w:p>
      <w:r>
        <w:t>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w:t>
      </w:r>
    </w:p>
    <w:p>
      <w:r>
        <w:t>- 4/5 - A/1176/2016 consid. 3 ; ATA/248/2011 du 13 avril 2011 consid. 4 ; ATA/197/2011 du 28 mars 2011 ; ATA/248/2009 du 19 mai 2009 consid. 3 ; ATA/213/2009 du 29 avril 2009 consid. 2).</w:t>
      </w:r>
    </w:p>
    <w:p>
      <w:r>
        <w:t>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w:t>
      </w:r>
    </w:p>
    <w:p>
      <w:r>
        <w:rPr>
          <w:b/>
        </w:rPr>
        <w:t>E. 4</w:t>
      </w:r>
    </w:p>
    <w:p>
      <w:r>
        <w:t>Au regard de ces principes, admettre en l’espèce la restitution de l’effet suspensif aurait pour effet que la recourante serait encore étudiante de la faculté et qu’il serait fait droit, de manière provisoire, aux conclusions de celle-ci sur le fond, ce qui est en principe prohibé (ATA/156/2015 du 9 février 2015 consid. 3 ; ATA/893/2014 du 17 novembre 2014 consid. 4 ; ATA/415/2013 du 4 juillet 2013 consid. 6 ; ATA/90/2012 du 16 février 2012 ; ATA/77/2012 du 8 février 2012 consid. 3). Il n’y a en l’occurrence aucune circonstance exceptionnelle qui justifierait une exception à cette règle (dans ce sens ATA/90/2012 précité).</w:t>
      </w:r>
    </w:p>
    <w:p>
      <w:r>
        <w:t>L’intimée fait pour le reste valoir un intérêt public - légitime - à ce qu’elle n’accueille que des étudiants ayant rempli les critères académiques de sélection. Cet intérêt prime l’intérêt privé de la recourante à continuer de bénéficier du statut d’étudiante pour effectuer des remplacements au cycle d’orientation alors qu’elle n’en remplit plus les conditions depuis son élimination exécutoire du mois de juillet 2015.</w:t>
      </w:r>
    </w:p>
    <w:p>
      <w:r>
        <w:rPr>
          <w:b/>
        </w:rPr>
        <w:t>E. 5</w:t>
      </w:r>
    </w:p>
    <w:p>
      <w:r>
        <w:t>La restitution de l'effet suspensif sera donc refusée, le sort des frais de la procédure étant réservé jusqu'à droit jugé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A/1176/2016 communique la présente décision, en copie, à Me Romain Jordan, avocat de la recourante, ainsi qu'à l'Université de Genève.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