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ATA/447/2020 vom 7. Mai 2020</w:t>
      </w:r>
    </w:p>
    <w:p>
      <w:r>
        <w:t>GE Cour de justice, 2020-05-07, FR</w:t>
      </w:r>
    </w:p>
    <w:p>
      <w:r>
        <w:rPr>
          <w:b/>
        </w:rPr>
        <w:t xml:space="preserve">Quelle: </w:t>
      </w:r>
      <w:r>
        <w:t>https://mcp.opencaselaw.ch/entscheid/ge_gerichte_ATA_447_2020</w:t>
      </w:r>
    </w:p>
    <w:p>
      <w:r>
        <w:t>FR: GE_GERICHTE ATA/447/2020 du 7 mai 2020</w:t>
      </w:r>
    </w:p>
    <w:p>
      <w:r>
        <w:t>IT: GE_GERICHTE ATA/447/2020 del 7 maggio 2020</w:t>
      </w:r>
    </w:p>
    <w:p>
      <w:pPr>
        <w:pStyle w:val="Heading2"/>
      </w:pPr>
      <w:r>
        <w:t>Erwägungen</w:t>
      </w:r>
    </w:p>
    <w:p>
      <w:r>
        <w:rPr>
          <w:b/>
        </w:rPr>
        <w:t>E. 12</w:t>
      </w:r>
    </w:p>
    <w:p>
      <w:r>
        <w:t>septembre 1985 - LPA - E 5 10). 2)</w:t>
      </w:r>
    </w:p>
    <w:p>
      <w:r>
        <w:t>La recourante invoque une violation de son droit d’être entendue en l’absence d’une motivation suffisante de la décision.</w:t>
      </w:r>
    </w:p>
    <w:p>
      <w:r>
        <w:t>À la lecture de l’arrêté, on comprend que le département estime que les constructions et autres éléments listés se trouvant sur la parcelles sont dignes d'être protégés et que cet intérêt public l'emporte sur l'intérêt privé de la recourante à disposer librement de son bien. On comprend également que la parcelle dans son ensemble et notamment le jardin situé au sud de la parcelle sont également concernés. D’ailleurs, les termes « les bâtiments et leurs abords » sont utilisés à plusieurs reprises, notamment s’agissant de la valeur attribuée à la parcelle dans le cadre du recensement qui relève aussi que le jardin est un « élément caractéristique du paysage ». La formulation utilisée dans l’arrêté : « … le terrain qui l’entoure permet précisément sa mise en valeur », est claire quant à la motivation de la mise à l’inventaire.</w:t>
      </w:r>
    </w:p>
    <w:p>
      <w:r>
        <w:t>Ainsi, dans la mesure où l'on peut discerner les motifs qui ont guidé la décision de l'autorité, le droit à une décision motivée, consacré à l'art. 29 al. 2 de la Constitution fédérale de la Confédération suisse du 18 avril 1999 (Cst. - RS 101), est respecté (ATF 141 V 557 consid. 3.2.1 a ; arrêté du Tribunal fédéral 1C_52/2016 du 7 septembre 2016 consid. 3.1). 3)</w:t>
      </w:r>
    </w:p>
    <w:p>
      <w:r>
        <w:t>Le litige porte sur l’inscription à l’inventaire des immeubles dignes d’être protégés de l’entier de la parcelle no 1_______, telle qu’elle est décidée dans l’arrêté du département du territoire du 25 juin 2019 à l’exclusion de celle des bâtiments nos 7_______, 8_______, 9_______ (ensemble D_______), et celle des éléments dignes d’intérêt non cadastrés (bassins, puits, murs et portails) que la recourante ne conteste pas. 4)</w:t>
      </w:r>
    </w:p>
    <w:p>
      <w:r>
        <w:t>Conformément à l’art. 4 de la loi sur la protection des monuments, de la nature et des sites du 4 juin 1976 (LPMNS - L 4 05), sont protégés les monuments de l’histoire, de l’art ou de l’architecture et les antiquités immobilières situés ou</w:t>
      </w:r>
    </w:p>
    <w:p>
      <w:r>
        <w:t>- 8/14 - A/3087/2019 découverts dans le canton, qui présentent un intérêt archéologique, historique, artistique, scientifique ou éducatif, ainsi que les terrains contenant ces objets ou leurs abords (let. a) et les immeubles, les sites dignes d’intérêt, ainsi que les beautés naturelles (let. b).</w:t>
      </w:r>
    </w:p>
    <w:p>
      <w:r>
        <w:t>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w:t>
      </w:r>
    </w:p>
    <w:p>
      <w:r>
        <w:t>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ATA/1024/2019 précité consid. 3d ; ATA/428/2010 du 22 juin 2010 consid. 7c). 5)</w:t>
      </w:r>
    </w:p>
    <w:p>
      <w:r>
        <w:t>L'art. 7 al. 1 LPMNS prévoit qu'il est dressé un inventaire de tous les immeubles dignes d'être protégés au sens de l'art. 4 LPMNS.</w:t>
      </w:r>
    </w:p>
    <w:p>
      <w:r>
        <w:t>Lorsqu'une procédure de mise à l'inventaire est ouverte, la commune du lieu de situation est consultée (art. 8 al. 1 LPMNS et 17 al. 3 du règlement d'exécution de la loi sur la protection des monuments, de la nature et des sites du 29 novembre 1976 - RPMNS - L 4 05.01). L'autorité municipale doit communiquer son préavis dans un délai de trente jours à compter de la réception du dossier (art. 8 al. 2 LPMNS). Le silence de la commune vaut approbation sans réserve (art. 8 al. 3 LPMNS).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(ATA/1024/2019 précité consid. 3d ; ATA/721/2012 du 30 décembre 2012 consid. 5).</w:t>
      </w:r>
    </w:p>
    <w:p>
      <w:r>
        <w:t>- 9/14 - A/3087/2019 6)</w:t>
      </w:r>
    </w:p>
    <w:p>
      <w:r>
        <w:t>Chaque fois que l'autorité administrative suit les préavis des instances consultatives, l'autorité de recours observe une certaine retenue,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La chambre est en revanche libre d'exercer son propre pouvoir d'examen lorsqu'elle procède elle-même à des mesures d'instruction, à l'instar d'un transport sur place (ATA/1024/2019 précité consid. 4c et les références citées).</w:t>
      </w:r>
    </w:p>
    <w:p>
      <w:r>
        <w:t>Si la consultation de la CMNS est imposée par la loi, le préavis de cette commission a un poids certain dans l'appréciation qu'est amenée à effectuer l'autorité de recours. En outre, la CMNS se compose pour une large part de spécialistes, dont notamment des membres d'associations d'importance cantonale, poursuivant par pur idéal des buts de protection du patrimoine (art. 46 al. 2 LPMNS). À ce titre, son préavis est important (ATA/1024/2019 précité consid. 4d ; ATA/1214/2015 10 novembre 2015 consid. 4f).</w:t>
      </w:r>
    </w:p>
    <w:p>
      <w:r>
        <w:t>En l’espèce, si la CMNS a rendu un préavis favorable, tel n'était pas le cas de la commune. En outre, la chambre administrative a effectué un transport sur place. Dans ces circonstances, elle dispose d'un libre pouvoir d'appréciation (ATA/1024/2019 précité). 7)</w:t>
      </w:r>
    </w:p>
    <w:p>
      <w:r>
        <w:t>Comme vu ci-dessus, en adoptant l’art. 4 LPMNS, le législateur a souhaité non seulement protéger les bâtiments et monuments dignes d’intérêt, mais également les terrains contenant ces objets ainsi que leurs abords. Le périmètre ainsi proposé n’est pas limité, permettant ainsi au Conseil d’État de l’apprécier de cas en cas, comme il peut le faire s’agissant de la protection des abords d’immeubles classés (art. 15 al. 4 LPMNS ; ATA/7/2019 du 8 janvier 2019). Dans ce dernier cas, la chambre de céans a déjà eu l’occasion de préciser que cette notion ne fixait pas une limite déterminée à l’avance mais qu’elle pouvait s’étendre à l’ensemble d’une parcelle par exemple, y compris aux constructions et installations secondaires qui s’y trouvaient ou y étaient autorisées (ATA/783/2012 du 20 novembre 2012). 8)</w:t>
      </w:r>
    </w:p>
    <w:p>
      <w:r>
        <w:t>Il convient donc d’examiner si le Conseil d’État a outrepassé son pouvoir d’appréciation en décidant d’inclure toute la parcelle dans la protection offerte par la mise à l’inventaire.</w:t>
      </w:r>
    </w:p>
    <w:p>
      <w:r>
        <w:t>La mise à l’inventaire des bâtiments et des éléments non cadastrés, tels que puits, bassins, murs et portails présents sur la parcelle n’est pas contestée. La seule portion de parcelle dont la protection est contestée est la partie résiduelle, non bâtie, formant le jardin du domaine avec un cheminement en gravier, lequel est situé en contrebas des bâtiments au sud de la parcelle. Il peut donc entrer dans la</w:t>
      </w:r>
    </w:p>
    <w:p>
      <w:r>
        <w:t>- 10/14 - A/3087/2019 définition de « terrain » ou d’abords au sens de l’art. 4 LPMNS, laquelle est, comme vu ci-dessus, sujette à appréciation.</w:t>
      </w:r>
    </w:p>
    <w:p>
      <w:r>
        <w:t>Les plans et photographies figurant au dossier ainsi que les constatations faites lors du transport sur place permettent d’établir que le jardin est situé à proximité immédiate des immeubles construits et à construire dans le périmètre du PLQ adjacent. Notamment, l’immeuble à construire sur la parcelle no 1_______ sera de gabarit R+6 + attique, plus élevé en raison d’une pente que celui déjà édifié à proximité. D’autres bâtiments du même type sont également prévus à l’est de la parcelle.</w:t>
      </w:r>
    </w:p>
    <w:p>
      <w:r>
        <w:t>Compte tenu de la proximité de ces constructions, la justification retenue par l’autorité intimée pour étendre la protection à l’entier de la parcelle pour permettre de garantir un dégagement suffisant des bâtiments et autres éléments à protéger s’ajoute au fait que la mise à l’inventaire permettra aux spécialistes en matière de protection du patrimoine d’être consultés sur tout projet susceptible de modifier l’état existant et de formuler des prescriptions particulières en vue de la préservation des éléments dignes de protection et de leurs dégagements.</w:t>
      </w:r>
    </w:p>
    <w:p>
      <w:r>
        <w:t>À ces justifications s’ajoute que le jardin en soi a été identifié par le recensement du patrimoine architectural comme un élément caractéristique du paysage.</w:t>
      </w:r>
    </w:p>
    <w:p>
      <w:r>
        <w:t>En outre, une autorisation a été délivrée qui permettra un accès provisoire au chantier de la parcelle voisine passant par le périmètre protégé et à proximité immédiate des bâtiments remarquables et d’autres éléments d’aménagement dont la valeur patrimoniale a été reconnnue. Le maintien de la mesure de protection sur l’entier de la parcelle permettra de limiter au maximum l’atteinte portée aux bâtiments, à leurs aménagements ainsi qu’au site qui forme leur écrin.</w:t>
      </w:r>
    </w:p>
    <w:p>
      <w:r>
        <w:t>La recourante ne conteste pas vraiment ces constations, remettant essentiellement en cause la question de la proportionnalité de l’atteinte subie à la garantie de la propriété, s’agissant du jardin qui ne présente, selon elle, aucun besoin de protection.</w:t>
      </w:r>
    </w:p>
    <w:p>
      <w:r>
        <w:t>Dans sa décision, le département a suivi les préavis et les conclusions des spécialistes. Dans ces circonstances, sous réserve de l’examen du principe de proportionnalité qui sera fait ci-dessous, rien ne permet à la chambre de céans de s’éloigner de l’appréciation faite par le département et il convient de retenir qu’il n’a pas abusé de son pouvoir d’appréciation en prononçant la mesure de protection et en délimitant le périmètre devant être inscrit à l’inventaire. 9)</w:t>
      </w:r>
    </w:p>
    <w:p>
      <w:r>
        <w:t>La recourante reproche à l’autorité intimée d’avoir porté une atteinte disproportionnée à la garantie de la propriété en étendant la mesure de protection à l’entier de la parcelle.</w:t>
      </w:r>
    </w:p>
    <w:p>
      <w:r>
        <w:t>- 11/14 - A/3087/2019</w:t>
      </w:r>
    </w:p>
    <w:p>
      <w:r>
        <w:t>a. L'assujettissement d'un immeuble à des mesures de conservation ou de protection du patrimoine naturel ou bâti constitue une restriction du droit de propriété garanti par l'art. 26 al. 1 de la Constitution fédérale de la Confédération suisse du 18 avril 1999 (Cst. - RS 101).</w:t>
      </w:r>
    </w:p>
    <w:p>
      <w:r>
        <w:t>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ATA/1214/2015 précité consid. 2a ; ATA/721/2012 précité consid. 8a).</w:t>
      </w:r>
    </w:p>
    <w:p>
      <w:r>
        <w:t>b.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w:t>
      </w:r>
    </w:p>
    <w:p>
      <w:r>
        <w:t>c.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w:t>
      </w:r>
    </w:p>
    <w:p>
      <w:r>
        <w:t>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w:t>
      </w:r>
    </w:p>
    <w:p>
      <w:r>
        <w:t>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 il incombe à l'autorité d'établir les faits de telle manière qu'apparaissent clairement toutes les conséquences de la mesure, des points de vue de l'utilisation future du bâtiment et des possibilités de</w:t>
      </w:r>
    </w:p>
    <w:p>
      <w:r>
        <w:t>- 12/14 - A/3087/2019 rendement pour son propriétaire (ATF 126 I 219 consid. 6c in fine et consid. 6h ; arrêts du Tribunal fédéral 1C_52/2016 précité consid. 2). Il faut également tenir compte du caractère nécessaire de la mesure. Plus un bâtiment est digne d'être conservé, moins les exigences de la rentabilité doivent être prises en compte (ATF 118 Ia 384 consid. 5e). 10) Les effets d’une mise à l’inventaire sur un immeuble sont son maintien ainsi que la préservation de ses éléments dignes d’intérêt (art. 9 al. 1 LPMNS).</w:t>
      </w:r>
    </w:p>
    <w:p>
      <w:r>
        <w:t>Le fait de ne pouvoir disposer librement de son bien mais que pour tout projet ou intervention, la CMNS ou le SMS doive être consulté par la propriétaire, ne représente pas d’emblée une entrave insupportable à la garantie de la propriété. Aucune interdiction totale de construire n’a été prononcée. Une mesure d'inscription à l'inventaire du parc n'exclut pas que la propriétaire puisse construire sur la parcelle. Les contraintes de la mesure sont moins lourdes que celles de tout propriétaire d’un bien-fonds situé en zone protégée ou soumis à une mesure de classement (ATA/783/2012 du 20 novembre 2012 consid. 14 b). Toutefois, la mise à l’inventaire confère à l’objet qu’elle vise une protection plus importante que les seules dispositions en matière de police des constructions, comme le fait la mesure de classement (ATA/783/2012 précité consid. 13).</w:t>
      </w:r>
    </w:p>
    <w:p>
      <w:r>
        <w:t>En l’espèce, la protection de la parcelle et du terrain à l’avant du bâtiment ne peut pas être assurée par un moyen moins incisif, l’inventaire constituant la mesure de protection individuelle la moins contraignante prévue par la LPMNS. Faute d’arguments spécifiques sur ce sujet, rien ne permet de penser que l’inscription de l’immeuble de la recourante à l’inventaire ne lui assurerait pas un rendement acceptable, à tout le moins comparable à celui dont elle bénéficie aujourd’hui. La propriétaire n’est pas non plus empêchée de requérir une autorisation de construire, laquelle sera soumise à la consultation de la CMNS ou du SMS. Aucun sacrifice financier disproportionné ne peut ainsi être constaté.</w:t>
      </w:r>
    </w:p>
    <w:p>
      <w:r>
        <w:t>Dans ces circonstances, la mesure litigieuse ne produit pas des effets insupportables pour la recourante et ne constitue pas une restriction disproportionnée à la garantie de la propriété. Le grief sera par conséquent écarté.</w:t>
      </w:r>
    </w:p>
    <w:p>
      <w:r>
        <w:t>Au vu de ce qui précède, l’arrêté du département est conforme au droit et le recours à son encontre sera rejeté. 11) Vu l’issue du litige, un émolument de CHF 2'000.- sera mis à la charge de la recourante (art. 87 al. 1 LPA) et il ne sera alloué aucune indemnité de procédure (art. 87 al. 2 LPA).</w:t>
      </w:r>
    </w:p>
    <w:p>
      <w:r>
        <w:t>* * * * *</w:t>
      </w:r>
    </w:p>
    <w:p>
      <w:r>
        <w:t>- 13/14 - A/3087/2019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