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ATA/447/2015 vom 12. Mai 2015</w:t>
      </w:r>
    </w:p>
    <w:p>
      <w:r>
        <w:t>GE Cour de justice, 2015-05-12, FR</w:t>
      </w:r>
    </w:p>
    <w:p>
      <w:r>
        <w:rPr>
          <w:b/>
        </w:rPr>
        <w:t xml:space="preserve">Quelle: </w:t>
      </w:r>
      <w:r>
        <w:t>https://mcp.opencaselaw.ch/entscheid/ge_gerichte_ATA_447_2015</w:t>
      </w:r>
    </w:p>
    <w:p>
      <w:r>
        <w:t>FR: GE_GERICHTE ATA/447/2015 du 12 mai 2015</w:t>
      </w:r>
    </w:p>
    <w:p>
      <w:r>
        <w:t>IT: GE_GERICHTE ATA/447/2015 del 12 maggio 2015</w:t>
      </w:r>
    </w:p>
    <w:p>
      <w:pPr>
        <w:pStyle w:val="Heading2"/>
      </w:pPr>
      <w:r>
        <w:t>Erwägungen</w:t>
      </w:r>
    </w:p>
    <w:p>
      <w:r>
        <w:rPr>
          <w:b/>
        </w:rPr>
        <w:t>E. 12</w:t>
      </w:r>
    </w:p>
    <w:p>
      <w:r>
        <w:t>septembre 1985 - LPA - E 5 10). 2)</w:t>
      </w:r>
    </w:p>
    <w:p>
      <w:r>
        <w:t>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Arrêt du Tribunal fédéral des assurances U 216/00 du 31 mai 2001 consid. 3).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 572 ; ATA/582/2005 du 30 août 2005). 3)</w:t>
      </w:r>
    </w:p>
    <w:p>
      <w:r>
        <w:t>En l’espèce, le demandeur produit deux attestations émanant de l’employeur de M. B______ au Bengladesh. Il s’agit certes de nouveaux documents. On ne voit toutefois pas en quoi les éléments qu’ils contiennent ne pouvaient être administrés lors de la première procédure. De plus, le fait que l’établissement employant M. B______ mette aussi à disposition de ses clients de la cuisine du sud de l’Inde ne permet pas d’admettre que les qualifications de ce dernier répondent aux directives, très détaillées, de l’office des migrations, devenu depuis lors secrétariat d’État aux migrations. 4)</w:t>
      </w:r>
    </w:p>
    <w:p>
      <w:r>
        <w:t>Au vu de ce qui précède, la demande de révision sera déclarée irrecevable.</w:t>
      </w:r>
    </w:p>
    <w:p>
      <w:r>
        <w:t>Vu l'issue du litige, un émolument de CHF 400.- sera mis à la charge du demandeur et aucune indemnité de procédure ne lui sera allouée (art. 87 LPA).</w:t>
      </w:r>
    </w:p>
    <w:p>
      <w:r>
        <w:t>- 4/4 - A/3941/2014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