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ATA/446/2018 vom 8. Mai 2018</w:t>
      </w:r>
    </w:p>
    <w:p>
      <w:r>
        <w:t>GE Cour de justice, 2018-05-08, FR</w:t>
      </w:r>
    </w:p>
    <w:p>
      <w:r>
        <w:rPr>
          <w:b/>
        </w:rPr>
        <w:t xml:space="preserve">Quelle: </w:t>
      </w:r>
      <w:r>
        <w:t>https://mcp.opencaselaw.ch/entscheid/ge_gerichte_ATA_446_2018</w:t>
      </w:r>
    </w:p>
    <w:p>
      <w:r>
        <w:t>FR: GE_GERICHTE ATA/446/2018 du 8 mai 2018</w:t>
      </w:r>
    </w:p>
    <w:p>
      <w:r>
        <w:t>IT: GE_GERICHTE ATA/446/2018 del 8 maggio 2018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juin 2014 et en parle souvent avec sa famille ne saurait relever d’un état de stress post-traumatique conduisant à un changement durable de la personnalité. Au surplus, la prise en charge du recourant par l’OMP a fait suite à des relations conflictuelles au sein de la fratrie et entre camarades à l’école, et les attestations de cet organe ne lient pas les difficultés psychologiques de l’intéressé, au demeurant relativement bénignes puisqu’ayant trait à un manque de confiance en lui-même, aux conséquences de ladite agression ; du reste, au 6 avril 2017, ces difficultés étaient en voie de résorption. 5)</w:t>
      </w:r>
    </w:p>
    <w:p>
      <w:r>
        <w:t>Vu ce qui précède, une des conditions de l’art. 22 al. 1 LAVI n’étant en tout état de cause pas remplie, c’est à juste titre que l’instance d’indemnisation LAVI a rejeté la demande en réparation morale.</w:t>
      </w:r>
    </w:p>
    <w:p>
      <w:r>
        <w:t>Le recours sera donc rejeté. 6)</w:t>
      </w:r>
    </w:p>
    <w:p>
      <w:r>
        <w:t>La procédure étant gratuite, il ne sera pas perçu d’émolument (art. 18 LAVI). Vu l’issue du litige, aucune indemnité de procédure ne sera allouée à la recourante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