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ATA/444/2017 vom 20. April 2017</w:t>
      </w:r>
    </w:p>
    <w:p>
      <w:r>
        <w:t>GE Cour de justice, 2017-04-20, FR</w:t>
      </w:r>
    </w:p>
    <w:p>
      <w:r>
        <w:rPr>
          <w:b/>
        </w:rPr>
        <w:t xml:space="preserve">Quelle: </w:t>
      </w:r>
      <w:r>
        <w:t>https://mcp.opencaselaw.ch/entscheid/ge_gerichte_ATA_444_2017</w:t>
      </w:r>
    </w:p>
    <w:p>
      <w:r>
        <w:t>FR: GE_GERICHTE ATA/444/2017 du 20 avril 2017</w:t>
      </w:r>
    </w:p>
    <w:p>
      <w:r>
        <w:t>IT: GE_GERICHTE ATA/444/2017 del 20 aprile 2017</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w:t>
      </w:r>
    </w:p>
    <w:p>
      <w:r>
        <w:rPr>
          <w:b/>
        </w:rPr>
        <w:t>E. 3</w:t>
      </w:r>
    </w:p>
    <w:p>
      <w:r>
        <w:t>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w:t>
      </w:r>
    </w:p>
    <w:p>
      <w:r>
        <w:t>- 6/7 - A/1115/2017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w:t>
      </w:r>
    </w:p>
    <w:p>
      <w:r>
        <w:rPr>
          <w:b/>
        </w:rPr>
        <w:t>E. 4</w:t>
      </w:r>
    </w:p>
    <w:p>
      <w:r>
        <w:t>L’examen prima facie de l’argumentation de la recourante et des pièces produites ne permet pas de retenir que l’appel d’offres contiendrait des incohérences au sujet de l’admissibilité de la sous-traitance : celle-ci est formellement et de manière non équivoque prohibée au chiffre 2.3.4 des conditions administratives. La mention de sous-traitants ailleurs dans l’énoncé des conditions n’y figure qu’en relation à la teneur des dispositions légales et réglementaires référencées. Les entreprises du consortium l’ont bien compris, qui se sont organisées sous cette dernière forme, expressément admise au chiffre 2.3.3 des conditions générales.</w:t>
      </w:r>
    </w:p>
    <w:p>
      <w:r>
        <w:t>Il ressort par ailleurs clairement des documents établis par la recourante qu’elle fait état pour une partie des travaux de recours à de la « sous-traitance critique », respectivement à des prestations de tiers. On ne peut que comprendre qu’elle ne va pas effectuer elle-même ces travaux mais qu’ils vont être effectués par une autre entreprise, ce qu’elle confirme dans ses écritures. Peu importe qu’elle soit actionnaire de cette entreprise. Juridiquement, il s’agit d’un tiers. À ce stade, l’appréciation de GA selon laquelle il s’agit de sous-traitance prohibée n’apparaît pas manifestement infondée.</w:t>
      </w:r>
    </w:p>
    <w:p>
      <w:r>
        <w:t>Par ailleurs, la recourante n’a pas recouru en temps utile contre l’appel d’offres dont elle critique le contenu, de sorte qu’elle ne peut plus le contester dans un recours contre l’adjudication (ATF 130 I 241 consid. 4.2 ; 125 I 203 consid. 3a ; ATA/283/2016 du 5 avril 2016 consid. 5c).</w:t>
      </w:r>
    </w:p>
    <w:p>
      <w:r>
        <w:t>Enfin, elle se plaint de l’évaluation dont elle a fait l’objet pour le critère des références en se limitant à critiquer l’appréciation de GA et en prétendant simplement y substituer la sienne, sans l’étayer. Le dossier ne révélant pas qu’il y aurait une erreur à ce point manifeste de GA qu’elle remettrait en cause la note obtenue, cela de surcroît de telle manière que son offre aurait dû être classée première, force est de retenir dans ces circonstances, que les chances de succès du recours sont, à ce stade, minimes.</w:t>
      </w:r>
    </w:p>
    <w:p>
      <w:r>
        <w:rPr>
          <w:b/>
        </w:rPr>
        <w:t>E. 5</w:t>
      </w:r>
    </w:p>
    <w:p>
      <w:r>
        <w:t>S’agissant de la pesée des intérêts entre l’intérêt public de GA à réaliser sans attendre le marché public litigieux et les intérêts privés de la SA à se voir attribuer le</w:t>
      </w:r>
    </w:p>
    <w:p>
      <w:r>
        <w:t>- 7/7 - A/1115/2017 marché, il doit être constaté que le premier l’emporte sur le second. Les travaux projetés sont nécessaires pour assurer la sécurité des aéronefs utilisant le site aéroportuaire, et donc des passagers qu’ils transportent, et doivent être réalisés selon une planification établie pour tenir compte de conditions climatiques favorables. La SA ne peut se prévaloir que d’un intérêt de nature purement pécuniaire, certes non négligeable mais devant céder le pas à celui, nettement prépondérant, mis en avant par GA.</w:t>
      </w:r>
    </w:p>
    <w:p>
      <w:r>
        <w:rPr>
          <w:b/>
        </w:rPr>
        <w:t>E. 6</w:t>
      </w:r>
    </w:p>
    <w:p>
      <w:r>
        <w:t>Au vu de ce qui précède, la restitution de l’effet suspensif au recours sera refusée.</w:t>
      </w:r>
    </w:p>
    <w:p>
      <w:r>
        <w:rPr>
          <w:b/>
        </w:rPr>
        <w:t>E. 7</w:t>
      </w:r>
    </w:p>
    <w:p>
      <w:r>
        <w:t>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Marti Construction SA, à l’Aéroport international de Genève, ainsi qu’au Consortium Scrasa-Framix-Csp.</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