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ATA/444/2014 vom 17. Juni 2014</w:t>
      </w:r>
    </w:p>
    <w:p>
      <w:r>
        <w:t>GE Cour de justice, 2014-06-17, FR</w:t>
      </w:r>
    </w:p>
    <w:p>
      <w:r>
        <w:rPr>
          <w:b/>
        </w:rPr>
        <w:t xml:space="preserve">Quelle: </w:t>
      </w:r>
      <w:r>
        <w:t>https://mcp.opencaselaw.ch/entscheid/ge_gerichte_ATA_444_2014</w:t>
      </w:r>
    </w:p>
    <w:p>
      <w:r>
        <w:t>FR: GE_GERICHTE ATA/444/2014 du 17 juin 2014</w:t>
      </w:r>
    </w:p>
    <w:p>
      <w:r>
        <w:t>IT: GE_GERICHTE ATA/444/2014 del 17 giugno 2014</w:t>
      </w:r>
    </w:p>
    <w:p>
      <w:pPr>
        <w:pStyle w:val="Heading2"/>
      </w:pPr>
      <w:r>
        <w:t>Erwägungen</w:t>
      </w:r>
    </w:p>
    <w:p>
      <w:r>
        <w:rPr>
          <w:b/>
        </w:rPr>
        <w:t>E. 12</w:t>
      </w:r>
    </w:p>
    <w:p>
      <w:r>
        <w:t>septembre 1985 - LPA - E 5 10). 2)</w:t>
      </w:r>
    </w:p>
    <w:p>
      <w:r>
        <w:t>Le recourant se plaint de ce que le TAPI a violé son droit d’être entendu en ne procédant pas à l’instruction de sa situation personnelle, professionnelle et familiale, ainsi que de ses conditions de réintégration sociale au Kosovo. Il reproche en particulier de ne pas avoir procédé à son audition à ce propos.</w:t>
      </w:r>
    </w:p>
    <w:p>
      <w:r>
        <w:t>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t>En l’espèce, s’il revient à l’autorité de recours d’instruire d’office les faits de la cause dont elle est saisie (art. 19 LPA), cela implique la collaboration des parties (art. 22 LPA). De cette obligation découle le fait que le recourant, dans son acte de recours, doit exposer ses moyens et fournir une offre de preuves à propos des faits qu’il considère comme devant être pris en considération pour infirmer la</w:t>
      </w:r>
    </w:p>
    <w:p>
      <w:r>
        <w:t>- 7/13 - A/2519/2013 décision contestée (art. 65 al. 2 LPA). Le recourant s’est livré à cet exercice dans l’acte de recours dont il a saisi le TAPI le 7 août 2013. Sur ce point, s’il a discuté les circonstances dans lesquelles la vie conjugale s’était déroulée et s’il a donné des informations au sujet de sa situation personnelle en Suisse, il n’a fourni aucun élément de fait, notamment en rapport avec sa situation dans le cadre d’un éventuel retour au Kosovo, qui nécessitait que le TAPI ordonne des actes d’instruction supplémentaires à ce propos ou procède à son audition. Pour le surplus, eu égard aux questions juridiques à résoudre, le dossier à disposition de la juridiction de première instance était complet et la chambre de céans ne voit pas quels actes d’instruction supplémentaires le TAPI aurait dû encore ordonner.</w:t>
      </w:r>
    </w:p>
    <w:p>
      <w:r>
        <w:t>Le grief de violation du droit d’être entendu doit être rejeté, étant précisé que s’il avait eu une quelconque consistance, le vice aurait pu être réparé devant la juridiction de céans, qui dispose du même pouvoir de cognition que le TAPI (ATF 137 I 195 consid. 2.3.2 ; Arrêt du Tribunal fédéral 1C_161/2010 du 21 octobre 2010 consid. 2.1 ; ATA/212/2013 du 9 avril 2013 consid. 3 ; ATA/435/2010 du 22 juin 2010 consid. 2 ; Thierry TANQUEREL, Manuel de droit administratif, 2011, p. 516 n. 1554).</w:t>
      </w:r>
    </w:p>
    <w:p>
      <w:r>
        <w:t>3)</w:t>
      </w:r>
    </w:p>
    <w:p>
      <w:r>
        <w:t>Le recourant a sollicité d’être auditionné. La procédure administrative est principalement écrite, même si une audition des parties reste possible. En l’espèce, le recourant a pu faire valoir ses moyens dans ses écritures de recours. Compte tenu des questions juridiques à résoudre, son audition ne s’impose pas et la chambre administrative y renoncera. 4)</w:t>
      </w:r>
    </w:p>
    <w:p>
      <w:r>
        <w:t>En vertu de l’art. 43 de la loi fédérale sur les étrangers du 16 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 5)</w:t>
      </w:r>
    </w:p>
    <w:p>
      <w:r>
        <w:t>Aux termes de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 6)</w:t>
      </w:r>
    </w:p>
    <w:p>
      <w:r>
        <w:t>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Directives de l’office fédéral des migrations, Domaine des étrangers, version du</w:t>
      </w:r>
    </w:p>
    <w:p>
      <w:r>
        <w:t>- 8/13 - A/2519/2013 25 octobre 2013, état le 27 janvier 2014, ch. 6.14.1, consultables en ligne sur le site http://www.bfm.admin.ch/content/dam/data/bfm/rechtsgrundlagen/weisungen/ auslaender/weisungen-aug-f.pdf ; ATA/563/2013 du 28 août 2013 consid. 5).</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 ATA/64/2013 du 6 février 2013).</w:t>
      </w:r>
    </w:p>
    <w:p>
      <w:r>
        <w:t>En l’espèce, l’union conjugale du recourant et de Mme B______ a duré moins de trois ans, puisque le mariage du ______ 2008 a été dissous pour le divorce le 29 juin 2010. La première condition d’application de l’art. 50 al. 1 LEtr n’étant ainsi pas remplie, il n’y a pas lieu d’examiner la seconde condition, cumulative, soit la qualité de l’intégration du recourant en Suisse. 7)</w:t>
      </w:r>
    </w:p>
    <w:p>
      <w:r>
        <w:t>Selon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w:t>
      </w:r>
    </w:p>
    <w:p>
      <w:r>
        <w:t>- 9/13 - A/2519/2013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En font notamment partie les violences conjugales (art. 50 al. 2 LEtr et 77 al. 2 de l’ordonnance relative à l’admission, au séjour et à l’exercice d’une activité lucrative du 24 octobre 2007 - OASA - RS 142.201), qui doivent revêtir une certaine intensité (ATF 136 II 1 consid. 5.3), la réintégration fortement compromise dans le pays d’origine et le cas dans lequel le conjoint duquel dépend le droit de séjour de l’étranger décède (ATF 137 II 345 consid. 3.2.2 ; 136 II 1 consid. 5.3). 8)</w:t>
      </w:r>
    </w:p>
    <w:p>
      <w:r>
        <w:t>Dans le cas présent, le recourant n’a exposé aucune raison personnelle majeure au sens de l’art. 50 al. 2 let. b LEtr qui impose de l’autoriser à rester en Suisse malgré la fin de l’union conjugale, qu’elle soit tirée des conditions dans lesquelles celle-ci s’est déroulée ou de son intégration en Suisse. Il est admis qu’il a travaillé depuis son arrivée en Suisse. Toutefois, son intégration professionnelle dans ce pays ne revêt pas un caractère exceptionnel au sens que lui donne la jurisprudence, à savoir que cette intégration serait si exceptionnelle qu’elle ne permettrait pas au recourant d’y trouver son pendant dans son pays. D’une manière plus générale, si une partie de la famille du recourant habite Genève, il reste à celui-ci des attaches familiales ou sociales dans son pays d’origine où il a vécu une bonne partie de son existence. Le fait que la situation socio-économique du Kosovo soit moins bonne qu’en Suisse et qu’il y rencontrerait des conditions de vie plus difficiles qu’à Genève ne suffit pas à retenir l’existence de raisons personnelles majeures imposant la poursuite de son séjour en Suisse parce qu’un retour dans son pays d’origine entraînerait des difficultés de réadaptation insurmontables. Le recourant ne démontre pas qu’il pourrait se trouver dans une telle impasse et la chambre administrative considère que l’expérience sur le plan du travail dont il a pu bénéficier à Genève ne peut au contraire que lui être profitable dans l’optique de retrouver une situation professionnelle au Kosovo.</w:t>
      </w:r>
    </w:p>
    <w:p>
      <w:r>
        <w:t>Au vu de ce qui précède, la condition des raisons personnelles majeures au sens de l’art. 50 al. 1 let. b LEtr n’est pas non plus réalisée. 9)</w:t>
      </w:r>
    </w:p>
    <w:p>
      <w:r>
        <w:t>Selon l’art. 64 al. 1 let. c LEtr, tout étranger dont l’autorisation est refusée, révoquée ou qui n’est pas prolongée après un séjour autorisé est renvoyé. La décision de renvoi est assortie d’un délai de départ raisonnable (art. 64d al. 1 LEtr). 10) Le renvoi d’un étranger ne peut toutefois être ordonné que si l’exécution de celui-ci est possible, licite ou peut être raisonnablement exigible (art. 83 al. 1</w:t>
      </w:r>
    </w:p>
    <w:p>
      <w:r>
        <w:t>- 10/13 - A/2519/2013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(ATA/244/2012 du 24 avril 2012 ; ATA/750/2011 précité ; ATA/848/2010 du 30 novembre 2010).</w:t>
      </w:r>
    </w:p>
    <w:p>
      <w:r>
        <w:t>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le recourant n’a exposé aucun fait et le dossier ne recèle aucun élément, qui devrait conduire à retenir que l’une ou l’autre des situations susmentionnées seraient réalisées. L’OCPM devait, en application de l’art. 64 al. 1 LEtr, ordonner le renvoi du recourant dès lors que celui-ci n’avait plus droit à une autorisation de séjour. 11) Au vu de ce qui précède, la décision de l’OCPM refusant de renouveler ou maintenir l’autorisation de séjour ainsi que prononçant le renvoi du recourant de Suisse était conforme au droit. C’est de manière fondée que le TAPI l’a confirmée. Le recours sera rejeté. 12) Vu l’issue du litige, un émolument de CHF 400.- sera mis à la charge du recourant, qui succombe (art. 87 al. 1 LPA).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