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ATA/443/2024 vom 27. März 2024</w:t>
      </w:r>
    </w:p>
    <w:p>
      <w:r>
        <w:t>GE Cour de justice, 2024-03-27, FR</w:t>
      </w:r>
    </w:p>
    <w:p>
      <w:r>
        <w:rPr>
          <w:b/>
        </w:rPr>
        <w:t xml:space="preserve">Quelle: </w:t>
      </w:r>
      <w:r>
        <w:t>https://mcp.opencaselaw.ch/entscheid/ge_gerichte_ATA_443_2024</w:t>
      </w:r>
    </w:p>
    <w:p>
      <w:r>
        <w:t>FR: GE_GERICHTE ATA/443/2024 du 27 mars 2024</w:t>
      </w:r>
    </w:p>
    <w:p>
      <w:r>
        <w:t>IT: GE_GERICHTE ATA/443/2024 del 27 marzo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l'issue du litige, un émolument de CHF 1'500.-, comprenant le prononcé de la décision sur effet suspensif, sera mis à la charge de la recourante, qui succombe (art. 87 al. 1 LPA) et aucune indemnité de procédure ne sera allouée (art. 87 al. 2 LPA ; ATA/543/2023 du 23 mai 2023 consid. 5).</w:t>
      </w:r>
    </w:p>
    <w:p>
      <w:r>
        <w:t>- 9/10 - A/2510/2023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