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ATA/442/2022 vom 26. April 2022</w:t>
      </w:r>
    </w:p>
    <w:p>
      <w:r>
        <w:t>GE Cour de justice, 2022-04-26, FR</w:t>
      </w:r>
    </w:p>
    <w:p>
      <w:r>
        <w:rPr>
          <w:b/>
        </w:rPr>
        <w:t xml:space="preserve">Quelle: </w:t>
      </w:r>
      <w:r>
        <w:t>https://mcp.opencaselaw.ch/entscheid/ge_gerichte_ATA_442_2022</w:t>
      </w:r>
    </w:p>
    <w:p>
      <w:r>
        <w:t>FR: GE_GERICHTE ATA/442/2022 du 26 avril 2022</w:t>
      </w:r>
    </w:p>
    <w:p>
      <w:r>
        <w:t>IT: GE_GERICHTE ATA/442/2022 del 26 aprile 2022</w:t>
      </w:r>
    </w:p>
    <w:p>
      <w:pPr>
        <w:pStyle w:val="Heading2"/>
      </w:pPr>
      <w:r>
        <w:t>Erwägungen</w:t>
      </w:r>
    </w:p>
    <w:p>
      <w:r>
        <w:rPr>
          <w:b/>
        </w:rPr>
        <w:t>E. 5</w:t>
      </w:r>
    </w:p>
    <w:p>
      <w:r>
        <w:t>novembre 2021 pour formuler toutes requêtes ou observations complémentaires, après quoi la cause serait gardée à juger. 16) Aucune des parties ne s'est manifestée. EN DROIT 1)</w:t>
      </w:r>
    </w:p>
    <w:p>
      <w:r>
        <w:t>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 étant précisé que les jugements du TAPI lui sont communiqués par courrier interne, et qu'interpeller la Poste, comme le demande l'intimée, au sujet de la date de réception ne servirait à rien.</w:t>
      </w:r>
    </w:p>
    <w:p>
      <w:r>
        <w:t>Du reste, aucun élément concret ne permet de retenir que la recourante n'aurait pas reçu le jugement attaqué le 1er juillet 2021. Quoi qu’il en soit, même si le jugement attaqué, expédié le 29 juin 2021 par courrier interne, lui avait été notifié le 30 juin 2021, soit le premier jour utile suivant son expédition, le recours aurait été déposé dans le délai.</w:t>
      </w:r>
    </w:p>
    <w:p>
      <w:r>
        <w:t>- 10/16 - A/2926/2020 2)</w:t>
      </w:r>
    </w:p>
    <w:p>
      <w:r>
        <w:t>Le litige a pour objet le calcul du bouclier fiscal. L'absence de prise en compte de l'IIC dans ce calcul n'a pas fait l'objet d'un recours de la contribuable, et n'est donc plus contentieuse. Le TAPI a en revanche renvoyé la cause à l'AFC-GE pour nouvelle décision dans le sens des considérants, ceci sur un unique point, à savoir la prise en compte des dons. En se référant aux arrêts du Tribunal fédéral 2C_869/2017 et 2C_870/2017 du 7 août 2018 consid. 3.6, il a admis que les dons devaient suivre le même sort que les déductions pour frais professionnels, primes d'assurance, frais médicaux ou charges de famille, et devaient être déduits du revenu net corrigé compte tenu du rendement (fictif) de la fortune, mais à concurrence de 20 % de ce dernier, après prise en compte des autres déductions. 3)</w:t>
      </w:r>
    </w:p>
    <w:p>
      <w:r>
        <w:t>Les questions de droit matériel sont résolues en fonction du droit en vigueur lors des périodes fiscales litigieuses (arrêts du Tribunal fédéral 2C_663/2014 du 25 avril 2015 consid. 4 ; 2C_476/2014 du 21 novembre 2014 consid. 4.1).</w:t>
      </w:r>
    </w:p>
    <w:p>
      <w:r>
        <w:t>En l’espèce, le recours concerne les périodes fiscale 2012 et 2013. Il s’ensuit que la présente cause est régie par les dispositions de la LIPP dans sa teneur de l'époque. 4)</w:t>
      </w:r>
    </w:p>
    <w:p>
      <w:r>
        <w:t>Aux termes de l'art. 26 al. 1 de la Constitution fédérale de la Confédération suisse du 18 avril 1999 (Cst. - RS 101), la propriété est garantie. En matière fiscale, cette disposition ne va pas au-delà de l'interdiction d'une imposition confiscatoire, laquelle porte atteinte à l'institution même et au noyau essentiel de la propriété privée (arrêt du Tribunal fédéral 2C_579/2009 du 25 juin 2010 consid. 6.2).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 du Tribunal fédéral 2C_579/2009 précité consid. 6.2) ou encore le fait que l'impôt sur la fortune devait en principe pouvoir être couvert par les rendements de celle-ci (ATF 106 Ia 342 consid. 6b).</w:t>
      </w:r>
    </w:p>
    <w:p>
      <w:r>
        <w:t>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(arrêt du Tribunal fédéral 2C_324/2017 du 28 juillet 2017 consid. 3.2 et l’arrêt cité ; ATA/125/2018 du 6 février 2018 ; Xavier OBERSON, Droit fiscal suisse, 4ème éd., 2012, p. 44 n. 44).</w:t>
      </w:r>
    </w:p>
    <w:p>
      <w:r>
        <w:t>Le Tribunal fédéral a notamment admis que le noyau essentiel de la propriété privée n'était pas touché si, pendant une courte période, le revenu à</w:t>
      </w:r>
    </w:p>
    <w:p>
      <w:r>
        <w:t>- 11/16 - A/2926/2020 disposition ne suffit pas à s'acquitter de la charge fiscale sans entamer la fortune (ATF 106 Ia 342 consid. 6c ; arrêts du Tribunal fédéral 2P.139/2004 du 30 novembre 2004 consid. 4.1 ; 2C_277/2008 du 26 septembre 2008). 5) a. Au 1er janvier 2011, le législateur genevois a décidé d'étendre la protection du patrimoine des justiciables et de concrétiser le principe de l'interdiction confiscatoire avec l'entrée en vigueur d'un nouvel art. 60 LIPP. Cette disposition prévoit une limite fixe de taxation en pourcentage et permet ainsi la mise en place du bouclier fiscal à Genève.</w:t>
      </w:r>
    </w:p>
    <w:p>
      <w:r>
        <w:t>L'art. 60 LIPP constitue à lui seul la section 6 (intitulée « charge maximale ») du chapitre IV de la LIPP consacré à l'impôt sur la fortune.</w:t>
      </w:r>
    </w:p>
    <w:p>
      <w:r>
        <w:t>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w:t>
      </w:r>
    </w:p>
    <w:p>
      <w:r>
        <w:t>Selon l’art. 60 al. 2 LIPP sont considérés comme rendement net de la fortune, au sens de l’al. 1, les revenus provenant de la fortune mobilière et immobilière, sous déduction des frais mentionnés à l'art. 34 let. a, c, d et e LIPP (let. a) ; et un intérêt sur la fortune commerciale imposable, dont le montant ne peut cependant dépasser les revenus nets provenant d'une activité lucrative indépendante. Le taux de cet intérêt est le taux appliqué dans le calcul du revenu AVS provenant d'une activité lucrative indépendante (let. b).</w:t>
      </w:r>
    </w:p>
    <w:p>
      <w:r>
        <w:t>S’il y a lieu à réduction, celle-ci est imputée sur les impôts sur la fortune, centimes additionnels cantonaux et communaux compris. L’État et les communes intéressées la supportent proportionnellement à leurs droits (art. 60 al. 4 LIPP).</w:t>
      </w:r>
    </w:p>
    <w:p>
      <w:r>
        <w:t>b. Selon l’art. 28 LIPP, le revenu net se calcule en défalquant du total des revenus imposables les déductions générales et les frais mentionnés aux art. 29 à 37 LIPP.</w:t>
      </w:r>
    </w:p>
    <w:p>
      <w:r>
        <w:t>c. Sont déduits du revenu les dons en espèces et sous forme d’autres valeurs patrimoniales en faveur de personnes morales qui ont leur siège en Suisse et sont exonérées de l’impôt en raison de leurs buts de service public ou d’utilité publique, jusqu’à concurrence de 20 % des revenus diminués des déductions prévues aux art. 29 à 36B LIPP (art. 37 al. 1 1ère phr. LIPP). 6)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w:t>
      </w:r>
    </w:p>
    <w:p>
      <w:r>
        <w:t>- 12/16 - A/2926/2020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t>c.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La même chose vaut en droit fiscal, où seules les lacunes proprement dites peuvent être comblées, sous réserve des cas d'abus de droit qui comprennent notamment les situations d'évasion fiscale (ATF 131 II 562 consid. 3.5 et les références citées).</w:t>
      </w:r>
    </w:p>
    <w:p>
      <w:r>
        <w:t>Le juge ne saurait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(ATF 130 II 65 consid. 4.2 ; ATA/226/2019 du 5 mars 2019 consid. 9). 7)</w:t>
      </w:r>
    </w:p>
    <w:p>
      <w:r>
        <w:t>Dans deux arrêts traitant du bouclier fiscal genevois, le Tribunal fédéral a relevé que l'art. 60 al. 1 LIPP prévoyait que, pour le calcul de la charge maximale, la fortune était présumée produire un rendement minimum de 1 %. Cette règle avait pour but d'éviter qu'un contribuable disposant d'une fortune importante mais d'un revenu nul, par exemple parce qu'il avait placé son capital dans une société</w:t>
      </w:r>
    </w:p>
    <w:p>
      <w:r>
        <w:t>- 13/16 - A/2926/2020 qui ne distribuait aucun dividende, ne puisse échapper à toute imposition. En effet, dans un tel cas, sans la règle prévoyant un rendement minimum de la fortune nette de 1 %, la charge maximale du contribuable en question serait de CHF 0.- (60 % de son revenu net imposable, soit CHF 0.-). Le système instauré par la 2ème phr. de l'art. 60 al. 1 LIPP permettait alors, dans le calcul du revenu net imposable du contribuable ‒ dont le rendement net de la fortune n'était qu'un élément parmi d'autres ‒, de prendre en considération un rendement net de la fortune équivalant au moins à 1 % de la fortune nette. Si le rendement net de la fortune d'un contribuable était inférieur à 1 % de sa fortune nette, c'est ce pourcentage qu'il fallait prendre en compte dans le calcul. Cela ne permettait toutefois nullement de considérer que le résultat final du calcul en question, soit le « revenu net imposable » de l'art. 60 al. 1 1ère phr. LIPP, devait toujours s'élever au moins à 1 % de la fortune nette du contribuable. Le revenu net imposable pouvait en effet, selon les circonstances du cas d'espèce, être inférieur à ce montant (arrêts du Tribunal fédéral 2C_869/2017 et 2C_870/2017 précité consid. 3.6).</w:t>
      </w:r>
    </w:p>
    <w:p>
      <w:r>
        <w:t>Le Tribunal fédéral a encore relevé que dans les deux arrêts précités ‒ et alors même que le correctif de l'art. 60 al. 1 2ème phr. LIPP trouvait application dans un cas mais pas dans l’autre ‒ que le calcul du « revenu net imposable » prévu par l'art. 60 al. 1 1ère phr. LIPP devait être effectué sur la base d'un rendement net (fictif) de la fortune fixé à 1 % de la fortune nette du contribuable, ou sur la base du rendement réel de la fortune nette du contribuable, en tenant compte toutefois ensuite de toutes les déductions pertinentes, comme l'avait jugé le TAPI. En retenant que la charge maximale de l'art. 60 LIPP devait directement être fixée à 60 % de 1 % de la fortune nette imposable, la chambre administrative avait effectué une interprétation contra legem de cette disposition, sans indiquer aucune raison qui permettrait de procéder de la sorte et était donc tombée dans l'arbitraire (arrêts du Tribunal fédéral 2C_869/2017 et 2C_870/2017 précité consid. 3.6).</w:t>
      </w:r>
    </w:p>
    <w:p>
      <w:r>
        <w:t>Dans l'arrêt 2C_869/2017, le Tribunal fédéral s'est expressément référé à la p. 10 de l'arrêt (recte : jugement) du TAPI du 6 juin 2016 (JTAPI/585/2016), qui indique notamment qu'« à teneur de l’art. 28 LIPP, ce dernier [le revenu net imposable] se calcule en additionnant tous les éléments du revenu brut, dont les revenus issus de la fortune, et en y soustrayant les charges précisées aux art. 29 à 37 LIPP. Comme le prévoit l’art. 60 al. 1 2ème phr. LIPP, si dans le cadre de ce calcul, le rendement net de la fortune, dont le mode de calcul est explicité à l'art. 60 al. 2 LIPP, est inférieur à 1 % de la fortune nette, il est remplacé par le montant correspondant à 1 % de cette dernière. Cette règle ne constitue en effet qu’un correctif visant les fortunes à faible rendement, à savoir que dans le calcul du revenu net imposable, un rendement de ces dernières doit également être pris en compte, ceci même si elles n’en produisent aucun. L’art. 60 al. 1 2ème phr. LIPP se limite en effet à prendre en compte ce rendement théorique uniquement pour le "calcul" visé par sa première phrase. Or, pour opérer ce calcul, il faut déterminer</w:t>
      </w:r>
    </w:p>
    <w:p>
      <w:r>
        <w:t>- 14/16 - A/2926/2020 en premier lieu le montant du revenu net imposable, puis le montant des impôts sur celui-ci et sur la fortune, afin de vérifier si ceux-ci ne dépassent pas 60 % de ce dernier. Si on suivait le raisonnement de l'AFC-GE, les contribuables ayant une fortune à faible rendement pourraient être contraints de payer plus d’impôts que ceux dont la fortune a un rendement supérieur à 1 % ». 8)</w:t>
      </w:r>
    </w:p>
    <w:p>
      <w:r>
        <w:t>Dans un arrêt du 16 juin 2020 (ATA/601/2020 du 16 juin 2020 consid. 8b), la chambre de céans a retenu que les déductions générales liées à la fortune privée ne pouvaient être admises durant la troisième étape du calcul du bouclier fiscal, car selon la 2ème phr. de l’art. 60 al. 1 LIPP, le rendement net de la fortune est fixé au moins à 1 % de la fortune nette. Or, déduire les frais liés à la fortune dans cette troisième étape équivalait immanquablement à réduire le rendement net de la fortune à moins de 1 % de la fortune, ce qui ne saurait être admis à la lecture de l’art. 60 al. 1 LIPP. De plus, le rendement de la fortune utilisé dans le calcul ‒ et qui devait au moins être équivalent à 1 % de la fortune nette ‒ était qualifié de rendement « net » par le texte clair de l’art. 60 al. 1 LIPP, ce qui impliquait qu’il ne pouvait faire l’objet de déductions supplémentaires.</w:t>
      </w:r>
    </w:p>
    <w:p>
      <w:r>
        <w:t>Le fait que le Tribunal fédéral ait expressément indiqué que le calcul du revenu net imposable devait se faire en tenant compte de toutes les déductions pertinentes ne signifiait pas pour autant que les déductions sollicitées devraient être admises. Cette assertion permettait certes de confirmer que, dans la troisième étape du calcul, devraient être prises en compte les déductions, telles que mentionnées à l’art. 28 LIPP, permettant de déterminer le revenu net du contribuable. Elle ne saurait toutefois permettre des déductions supplémentaires du rendement net de la fortune. 9)</w:t>
      </w:r>
    </w:p>
    <w:p>
      <w:r>
        <w:t>En l'espèce, la recourante considère que le TAPI a extrapolé sans raison, à partir de la jurisprudence rendue en 2018 par le Tribunal fédéral, la prise en compte de la déduction pour dons de l'art. 37 LIPP dans la troisième étape du calcul du bouclier fiscal.</w:t>
      </w:r>
    </w:p>
    <w:p>
      <w:r>
        <w:t>Or, tant la jurisprudence précitée du Tribunal fédéral, qui s'est référé à une page du jugement du TAPI de juin 2016 renvoyant expressément aux déductions telles que prévues par l'art. 28 LIPP, que celle précitée de la chambre de céans, qui parle de la prise en compte dans la troisième étape du calcul des déductions mentionnées à l'art. 28 LIPP, amènent à la conclusion que doivent être prises en compte dans la troisième étape du calcul les déductions générales et les frais mentionnés aux art. 29 à 37 LIPP, auxquels l'art. 28 LIPP renvoie.</w:t>
      </w:r>
    </w:p>
    <w:p>
      <w:r>
        <w:t>L'ATA/260/2021 ménage certes une exception pour les déductions générales liées à la fortune privée (art. 34 LIPP), mais la taxation en cause ne contenait aucune demande de déduction liée à des dons, et comme déjà retenu cet arrêt renvoie expressément à l'art. 28 LIPP et ainsi, par contrecoup, à l'art. 37 LIPP. Que cette prise en compte nécessite un recalcul – là aussi en omettant,</w:t>
      </w:r>
    </w:p>
    <w:p>
      <w:r>
        <w:t>- 15/16 - A/2926/2020 logiquement, les déductions prévues à l'art. 34 LIPP – n'y change rien. Contrairement à ce que prétend la recourante, un tel recalcul découle de l'art. 60 LIPP, qui prévoit d'une part – comme souligné par le Tribunal fédéral – l'utilisation d'un « revenu net imposable » et d'autre part, dans un cas comme celui de l'intimée, le remplacement du revenu imposable effectif par un autre, hypothétique.</w:t>
      </w:r>
    </w:p>
    <w:p>
      <w:r>
        <w:t>Mal fondé, le recours sera dès lors rejeté. 10) Il ne sera pas perçu d'émolument, conformément à l'art. 87 al. 1 2ème phr. LPA. Malgré l'issue du litige, aucune indemnité de procédure ne sera allouée, l'intimée n'y ayant pas conclu et n'ayant pas exposé avoir encouru des frais pour sa défense, étant défendue par un proche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