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ATA/442/2020 vom 6. Mai 2020</w:t>
      </w:r>
    </w:p>
    <w:p>
      <w:r>
        <w:t>GE Cour de justice, 2020-05-06, FR</w:t>
      </w:r>
    </w:p>
    <w:p>
      <w:r>
        <w:rPr>
          <w:b/>
        </w:rPr>
        <w:t xml:space="preserve">Quelle: </w:t>
      </w:r>
      <w:r>
        <w:t>https://mcp.opencaselaw.ch/entscheid/ge_gerichte_ATA_442_2020</w:t>
      </w:r>
    </w:p>
    <w:p>
      <w:r>
        <w:t>FR: GE_GERICHTE ATA/442/2020 du 6 mai 2020</w:t>
      </w:r>
    </w:p>
    <w:p>
      <w:r>
        <w:t>IT: GE_GERICHTE ATA/442/2020 del 6 maggio 2020</w:t>
      </w:r>
    </w:p>
    <w:p>
      <w:pPr>
        <w:pStyle w:val="Heading2"/>
      </w:pPr>
      <w:r>
        <w:t>Erwägungen</w:t>
      </w:r>
    </w:p>
    <w:p>
      <w:r>
        <w:rPr>
          <w:b/>
        </w:rPr>
        <w:t>E. 12</w:t>
      </w:r>
    </w:p>
    <w:p>
      <w:r>
        <w:t>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des mesures provisionnelles - au nombre desquelles compte la restitution de l'effet suspensif - ne sont légitimes que si elles s'avèrent indispensables au maintien d'un état de fait ou à la sauvegarde d'intérêts compromis (ATF 119 V 503 consid. 3 ; ATA/15/2020 du 8 janvier 2020 ; ATA/898/2019 du 14 mai 2019 ; ATA/503/2018 du 23 mai 2018) ; qu'elles ne sauraient, en principe, anticiper le jugement définitif (Isabelle HÄNER, Vorsorgliche Massnahmen in Verwaltungsverfahren und Verwaltungsprozess in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la chambre de céans dispose dans l'octroi de mesures provisionnelles d'un large pouvoir d'appréciation (ibidem) ;</w:t>
      </w:r>
    </w:p>
    <w:p>
      <w:r>
        <w:t>qu’en l’espèce, la décision querellée confirme le blâme prononcé le 3 septembre 2019 à l’encontre du recourant ;</w:t>
      </w:r>
    </w:p>
    <w:p>
      <w:r>
        <w:t>qu’il n’apparaît pas que la décision du 3 septembre 2019 ou celle la confirmant imposeraient au recourant un suivi pédagogique et une formation informatique ; qu’ainsi, prima facie et sans préjudice de l’examen au fond, ces points ne font pas l’objet du litige ;</w:t>
      </w:r>
    </w:p>
    <w:p>
      <w:r>
        <w:t>que, partant, l’effet suspensif ne peut s’étendre à ces points ;</w:t>
      </w:r>
    </w:p>
    <w:p>
      <w:r>
        <w:t>que, pour le surplus, il existe un intérêt public indéniable à ce que les sanctions de l'État prises à l'encontre d'agents publics soient immédiatement exécutées (ATA/108/2020 du 29 janvier 2020 consid. 7; ATA/300/2015 du 24 mars 2015 ; ATA/991/2014 du</w:t>
      </w:r>
    </w:p>
    <w:p>
      <w:r>
        <w:t>- 4/4 - A/824/2020</w:t>
      </w:r>
    </w:p>
    <w:p>
      <w:r>
        <w:rPr>
          <w:b/>
        </w:rPr>
        <w:t>E. 15</w:t>
      </w:r>
    </w:p>
    <w:p>
      <w:r>
        <w:t>décembre 2014 et les références citées), étant relevé que le recourant ne sollicite pas l’octroi de l’effet suspensif en ce qui concerne le prononcé du blâme ;</w:t>
      </w:r>
    </w:p>
    <w:p>
      <w:r>
        <w:t>qu’au vu de ce qui précède, la requête de restitution de l’effet suspensif sera rejetée ;</w:t>
      </w:r>
    </w:p>
    <w:p>
      <w:r>
        <w:t>qu’il sera statué sur les frais de la présente décision avec l’arrêt sur le fond. LA CHAMBRE ADMINISTRATIVE rejette la requête de restitution de l’effet suspensif au recours ; réserve le sort des frais de la procédure jusqu’à droit jugé au fond ; dit que, conformément aux art. 82 ss de la loi fédérale sur le Tribunal fédéral du</w:t>
      </w:r>
    </w:p>
    <w:p>
      <w:r>
        <w:rPr>
          <w:b/>
        </w:rPr>
        <w:t>E. 17</w:t>
      </w:r>
    </w:p>
    <w:p>
      <w:r>
        <w:t>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Anaïs Loeffel, avocate du recourant, ainsi qu'au département de l'instruction publique, de la formation et de la jeunesse.</w:t>
      </w:r>
    </w:p>
    <w:p>
      <w:r>
        <w:t>la juge :</w:t>
      </w:r>
    </w:p>
    <w:p>
      <w:r>
        <w:t>I. Cuendet</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