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ATA/441/2022 vom 26. April 2022</w:t>
      </w:r>
    </w:p>
    <w:p>
      <w:r>
        <w:t>GE Cour de justice, 2022-04-26, FR</w:t>
      </w:r>
    </w:p>
    <w:p>
      <w:r>
        <w:rPr>
          <w:b/>
        </w:rPr>
        <w:t xml:space="preserve">Quelle: </w:t>
      </w:r>
      <w:r>
        <w:t>https://mcp.opencaselaw.ch/entscheid/ge_gerichte_ATA_441_2022</w:t>
      </w:r>
    </w:p>
    <w:p>
      <w:r>
        <w:t>FR: GE_GERICHTE ATA/441/2022 du 26 avril 2022</w:t>
      </w:r>
    </w:p>
    <w:p>
      <w:r>
        <w:t>IT: GE_GERICHTE ATA/441/2022 del 26 aprile 2022</w:t>
      </w:r>
    </w:p>
    <w:p>
      <w:pPr>
        <w:pStyle w:val="Heading2"/>
      </w:pPr>
      <w:r>
        <w:t>Regeste</w:t>
      </w:r>
    </w:p>
    <w:p>
      <w:r>
        <w:t>Résumé: Recours successifs du fisc genevois et des contribuables (époux) contre le jugement du TAPI, lequel a partiellement admis le recours interjeté devant lui par les contribuables sur la question de la déduction des intérêts des rappels d'impôts. La façon dont l'administration fiscale a déduit du revenu et de la fortune des contribuables, les intérêts résultants des rappels d'impôts, soit en les déduisant les intérêts relatifs au rappel d'impôt de l'année N sur l'année de taxation N + 1, est conforme à la jurisprudence, au principe d'étanchéité des exercices fiscaux et est donc conforme au droit. Recours des contribuables rejeté et recours du fisc genevois admis.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Le litige porte sur une procédure en rappel et soustraction d'impôt pour les périodes fiscales 2009 à 2013, en matière d'ICC et d'IFD.</w:t>
      </w:r>
    </w:p>
    <w:p>
      <w:r>
        <w:t>b. De jurisprudence constante, les questions de droit matériel sont résolues en fonction du droit en vigueur lors des périodes fiscales litigieuses (ATA/191/2020 du 18 février 2020 consid. 4b et les références citées).</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2009 à 2013. Dès lors, c’est l’ancien droit (aLIPP-I à aLIPP-V) qui s’applique pour l'année 2009, ainsi que la LIFD et la loi fédérale sur l’harmonisation des impôts directs des cantons et des communes du 14 décembre 1990 (LHID - RS 642.14) dans leur teneur de 2009. Pour les années 2010 à 2013, c’est la nouvelle LIPP qui trouve application.</w:t>
      </w:r>
    </w:p>
    <w:p>
      <w:r>
        <w:t>d. Par ailleurs, la question étant traitée de la même manière en droit fédéral et en droit cantonal harmonisé, le présent arrêt traite simultanément des deux impôts, comme l'admet la jurisprudence (ATF 135 II 260 ; ATA/463/2020 du 7 mai 2020 consid. 6b). 3)</w:t>
      </w:r>
    </w:p>
    <w:p>
      <w:r>
        <w:t>L'AFC-GE conteste les modalités de la déduction des IRI faite par le TAPI, lequel a appliqué les déductions selon le principe de la périodicité, soit pour l'année fiscale concernée.</w:t>
      </w:r>
    </w:p>
    <w:p>
      <w:r>
        <w:t>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La déduction d'intérêts passifs suppose l'existence d'une dette pécuniaire ; ce n'est que si une relation existe entre les intérêts et la dette qu'il peut être question d'intérêts passifs (ATF 143 II 396 consid. 2.1 et les références citées).</w:t>
      </w:r>
    </w:p>
    <w:p>
      <w:r>
        <w:t>En droit cantonal, l'impôt sur le revenu a pour objet tous les revenus, prestations et avantages du contribuable, qu'ils soient uniques ou périodiques, en</w:t>
      </w:r>
    </w:p>
    <w:p>
      <w:r>
        <w:t>- 11/22 - A/2395/2020 espèces ou en nature et quelle qu'en soit l'origine, avant déductions (art. 1 aLIPP- IV et 17 LIPP). Le revenu net se calcule en défalquant du total des revenus bruts les déductions générales et les frais mentionnés aux art. 2 à 8 aLIPP-V et 29 à 37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w:t>
      </w:r>
    </w:p>
    <w:p>
      <w:r>
        <w:t>b. Selon l'art. 13 al. 1 LHID, 1 aLIPP-III et 46 LIPP, l'impôt sur la fortune a pour objet l'ensemble de la fortune nette.</w:t>
      </w:r>
    </w:p>
    <w:p>
      <w:r>
        <w:t>Sont déduites de la fortune brute les dettes chirographaires ou hypothécaires justifiées par titres, extraits de comptes, quittances d'intérêts ou déclaration du créancier (art. 13 al. 1 let. a aLIPP-III et 56 al. 1 LIPP). Il ne peut être déduit que les dettes effectivement dues par le contribuable (art. 13 al. 2 aLIPP-III et 56 al. 2 1ère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w:t>
      </w:r>
    </w:p>
    <w:p>
      <w:r>
        <w:t>Les art. 4 al. 1 a aLIPP-III et 49 LIPP prévoient que l'état de la fortune mobilière et immobilière est établi au 31 décembre de l'année pour laquelle l'impôt est dû.</w:t>
      </w:r>
    </w:p>
    <w:p>
      <w:r>
        <w:t>c.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ATA/1470/2017 du</w:t>
      </w:r>
    </w:p>
    <w:p>
      <w:r>
        <w:rPr>
          <w:b/>
        </w:rPr>
        <w:t>E. 14</w:t>
      </w:r>
    </w:p>
    <w:p>
      <w:r>
        <w:t>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w:t>
      </w:r>
    </w:p>
    <w:p>
      <w:r>
        <w:t>d. La jurisprudence a traité ces questions de la manière suivante :</w:t>
      </w:r>
    </w:p>
    <w:p>
      <w:r>
        <w:t>- 12/22 - A/2395/2020</w:t>
      </w:r>
    </w:p>
    <w:p>
      <w:r>
        <w:t>- Dans l'arrêt 2C_1172/2014 du 22 juin 2015, le Tribunal fédéral a considéré qu'étant née et effective pour les périodes fiscales 2001 à 2009, la dette relative aux rappels d'impôt pour les années 2001 à 2009 et aux intérêts y relatifs grevait la fortune imposable des contribuables pour la période fiscale 2010, laquelle n'avait pas encore été taxée de manière définitive, et pouvait être déduite de leur fortune imposable au 31 décembre 2010, ce quand bien même les bordereaux relatifs à la procédure de rappel d'impôt leur avaient été notifiés le 19 janvier 2012.</w:t>
      </w:r>
    </w:p>
    <w:p>
      <w:r>
        <w:t>- Dans l'arrêt 2C_258/2017 du 2 juillet 2018, le Tribunal fédéral s'est penché sur la problématique de la déduction des IRI.</w:t>
      </w:r>
    </w:p>
    <w:p>
      <w:r>
        <w:t>Il a d'abord établi que les intérêts moratoires étaient déductibles du revenu en relevant que, même s'ils constituaient une catégorie d'intérêts passifs particulière, les IRI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w:t>
      </w:r>
    </w:p>
    <w:p>
      <w:r>
        <w:t>Ni la LIFD ni la LHID ne donnaient d'indication précise sur la période fiscale dans laquelle pouvaient être déduits les IRI. Il fallait donc laisser en ce domaine une marge de manœuvre aux cantons, le Tribunal fédéral n'examinant la solution adoptée par les instances cantonales que sous l'angle de l'arbitraire.</w:t>
      </w:r>
    </w:p>
    <w:p>
      <w:r>
        <w:t>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d'IRI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Cette particularité, propre aux IRI, était à la base de ce raisonnement, qui n'est pas arbitraire (consid. 6.8).</w:t>
      </w:r>
    </w:p>
    <w:p>
      <w:r>
        <w:t>La question du point de départ de la déductibilité des intérêts relatifs aux rappels d'impôt s'agissant de la fortune n'était pas non plus résolue par le droit</w:t>
      </w:r>
    </w:p>
    <w:p>
      <w:r>
        <w:t>- 13/22 - A/2395/2020 fédéral. Il n'était pas insoutenable, sous l'angle de l'étanchéité des exercices fiscaux, d'admettre que le contribuable pouvait les déduire de sa fortune dans chacune des années fiscales sur lesquelles portaient les rappels d'impôt (consid. 7.4).</w:t>
      </w:r>
    </w:p>
    <w:p>
      <w:r>
        <w:t>-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dès lors que les cantons disposaient d'une marge de manœuvre à ce sujet (arrêt du Tribunal fédéral 2C_435/2017 du 18 février 2019 consid. 2.4 et suivant).</w:t>
      </w:r>
    </w:p>
    <w:p>
      <w:r>
        <w:t>-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w:t>
      </w:r>
    </w:p>
    <w:p>
      <w:r>
        <w:t>- Dans un arrêt du 11 juin 2019 (2C_925/2017), le Tribunal fédéral a relevé que le système choisi par le législateur genevois consistant à retenir que les intérêts moratoires étaient dus à l'échéance du 30ème jour suivant le terme initial d'échéance de l'impôt pour l'IFD était également celui préconisé par la doctrine récente (Silvia HUNZIKER/Isabelle MAYER-KNOBEL, dans : Martin ZWEIFEL/Michael BEUSCH [éd.], Komm. DBG, 3ème éd. 2017, n. 9 ad art. 33 LIFD p. 784).</w:t>
      </w:r>
    </w:p>
    <w:p>
      <w:r>
        <w:t>Il ressort de ce qui précède que le Tribunal fédéral considère que les IRI peuvent – et non doivent – être déduits dans chaque période fiscale sur lesquelles portent les rappels d'impôt. Il n'impose pas cette manière de procéder aux cantons, lesquels bénéficient d'une marge de manœuvre sur la question de savoir dans quelle période fiscale doivent être déduits les intérêts moratoires sur rappel d'impôt (arrêt du Tribunal fédéral 2C_258/2017 précité consid. 6.8.1). 4)</w:t>
      </w:r>
    </w:p>
    <w:p>
      <w:r>
        <w:t>En l'espèce, l'AFC-GE a, dans ses décisions sur réclamations, déduit les IRI selon ces principes pour le calcul du revenu à prendre en compte pour l'ICC et l'IFD : CHF 1'159.- pour 2010 ; CHF 1'886.- pour 2011 ; CHF 3'062.- pour 2012 et CHF 4'689.- 2013. Pour l'impôt sur la fortune, CHF 6'107.- pour 2012 et CHF 10'796.-.</w:t>
      </w:r>
    </w:p>
    <w:p>
      <w:r>
        <w:t>Le TAPI n'a pas suivi ce raisonnement, estimant que les IRI d'une année N devaient être déductibles uniquement l'année N.</w:t>
      </w:r>
    </w:p>
    <w:p>
      <w:r>
        <w:t>- 14/22 - A/2395/2020</w:t>
      </w:r>
    </w:p>
    <w:p>
      <w:r>
        <w:t>Or, le raisonnement du TAPI apparaît contraire au principe d'étanchéité des exercices fiscaux, comme la chambre de céans l'a déjà retenu (ATA/248/2022 du 9 mars 2022 consid. 2f),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1er mars de l'année suivant la période fiscale concernée pour l'IFD (art. 1 de l'ordonnance du département fédéral des finances sur l’échéance et les intérêts en matière d’impôt fédéral direct du 10 décembre 1992 - RS 642.124).</w:t>
      </w:r>
    </w:p>
    <w:p>
      <w:r>
        <w:t>Bénéficiant d'une marge de manœuvre dans ce domaine, l'administration a déduit les intérêts relatifs au rappel d'impôt de l'année N sur l’année de taxation N + 1. Les intérêts de l'année N qui couraient du 1er mars pour l'IFD, et du 31 mars pour l'ICC, jusqu'au 31 décembre N, ont été déduits du revenu sur la période fiscale N + 1.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2009 n'était échu avant 2010, de sorte qu’aucune déduction ne peut être admise à ce titre en 2009.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il ne saurait être question de calquer le montant des intérêts déductibles sur la période de calcul de ceux-ci, ce qui irait précisément à l'encontre du principe d'étanchéité (ATA/248/2022 du 9 mars 2022 consid. 2f ; ATA/1369/2021 du 14 décembre 2021 consid. 7).</w:t>
      </w:r>
    </w:p>
    <w:p>
      <w:r>
        <w:t>Le recours de l'AFC-GE sera donc admis et le jugement du TAPI annulé sur ce point. 5)</w:t>
      </w:r>
    </w:p>
    <w:p>
      <w:r>
        <w:t>Les contribuables ont recouru contre le jugement du TAPI en invoquant plusieurs griefs. En premier lieu, ils contestent les reprises faites au titre de rendement de participation.</w:t>
      </w:r>
    </w:p>
    <w:p>
      <w:r>
        <w:t>a. Est imposable le rendement de la fortune mobilière, en particulier les dividendes, les parts de bénéfice, les excédents de liquidation et tous autres avantages appréciables en argent provenant de participations de tout genre (art. 20 al. 1 let. c LIFD ; art. 22 al. 1 let. c LIPP).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Impôt fédéral direct.</w:t>
      </w:r>
    </w:p>
    <w:p>
      <w:r>
        <w:t>- 15/22 - A/2395/2020 Commentaire de la loi sur l'impôt fédéral direct, 2ème éd., 2017, p. 1102 n. 170 ad art. 57 et 58 ; Xavier OBERSON, Droit fiscal suisse, 4ème éd., 2012, p. 233 n. 31).</w:t>
      </w:r>
    </w:p>
    <w:p>
      <w:r>
        <w:t>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(Xavier OBERSON, op. cit., p. 233 n. 31, p. 236-237 n. 43).</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 Jean-Marc RIVIER, Droit fiscal suisse, L'imposition du revenu et de la fortune, 2ème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et les références citées ; ATA/979/2021 du 21 septembre 2021 consid. 6a et les références citées ; Martin ZWEIFEL, Die Sachverhaltsermittlung im Steuerveranlagungsverfahren, 1989, p. 109).</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(ATF 121 II 257 consid. 4c/aa ; arrêt du Tribunal fédéral 2C_960/2016 du 15 juin 2017 consid. 5.1 et les références citées ; ATA/119/2019 du 5 février 2019 consid. 8 ; Jean-Marc RIVIER, op. cit., p. 138).</w:t>
      </w:r>
    </w:p>
    <w:p>
      <w:r>
        <w:t>- 16/22 - A/2395/2020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précité ; arrêt du Tribunal fédéral 2C_722/2017 du 13 décembre 2017 consid. 5.2 et les références citées ; ATA/119/2019 du 5 février 2019 consid. 8). Ce dernier devra justifier l'origine des montants non déclarés et il pourra même être obligé de fournir des renseignements supplémentaires sur les rapports contractuels mis à jour par l'autorité fiscale et sur les prestations qui en découlent (ATF 121 II 257 précité ; arrêt du Tribunal fédéral 2A.374/2006 du 30 octobre 2006 consid. 4.2 ; ATA/119/2019 du 5 février 2019 consid. 8). L’omission ou l’échec de ces preuves contraires peut être considéré comme un indice suffisant de la véracité des allégations de la partie adverse si ces dernières paraissent vraisemblables (arrêts du Tribunal fédéral 2A.373/2003 du 1er avril 2004 consid. 3.2.2 ; ATA/119/2019 du 5 février 2019 consid. 8 et les références citées).</w:t>
      </w:r>
    </w:p>
    <w:p>
      <w:r>
        <w:t>c. Il n'existe pas de véritable automatisme de taxation entre celle de la société et celle du détenteur de parts qui constituent deux sujets de droit et deux sujets fiscaux indépendants l'un de l'autre. Toutefois, la jurisprudence a retenu qu'en dérogation aux règles habituelles concernant le fardeau de la preuve, c'est au détenteur de parts, lorsqu'il est en même temps organe de la société, de contester dans les détails la nature et le montant de la prestation appréciable en argent prétendue par l'administration fiscale. S'il omet de contester l'un des aspects ou s'il se limite à un exposé sommaire, l'autorité de taxation peut partir du principe que la taxation entrée en force pour la société se justifie également vis-à-vis de l'actionnaire (arrêt du Tribunal fédéral 2C_16/2015 du 6 août 2015 = RDAF 2016 II 110).</w:t>
      </w:r>
    </w:p>
    <w:p>
      <w:r>
        <w:t>d. En l'espèce, il ressort du dossier fiscal l'existence de montants non déclarés par la société qui ont été encaissés sur des comptes bancaires privés du contribuable. Ce dernier effectuait des retraits réguliers en espèces sur ces comptes sans fournir de justificatifs qui permettraient d'exclure leur caractère privé. Il a d'ailleurs indiqué payer l'ensemble de ses factures privées et commerciales avec ces retraits. Les explications du contribuable concernant son train de vie ou l'évolution de sa fortune en lien avec ces comptes bancaires ne sont pas pertinentes en l'absence de justificatifs probants, comme ne le sont pas les explications basées sur le salaire moyen dans sa profession, puisqu'il a déjà admis que la société employait des sous-traitants et qu'il n'était donc pas seul à travailler.</w:t>
      </w:r>
    </w:p>
    <w:p>
      <w:r>
        <w:t>Il appert ainsi que si l'AFC-GE a apporté la preuve de l'existence d'éléments augmentant la charge fiscale par les montants encaissés sur les comptes bancaires, les contribuables n'ont pas pu démontrer leurs allégations. Leur grief sera donc écarté.</w:t>
      </w:r>
    </w:p>
    <w:p>
      <w:r>
        <w:t>- 17/22 - A/2395/2020 6)</w:t>
      </w:r>
    </w:p>
    <w:p>
      <w:r>
        <w:t>Les contribuables estiment que les montants des rendements de participation devaient être réduits des dettes de rappel TVA, celles-ci ayant été entièrement réglées.</w:t>
      </w:r>
    </w:p>
    <w:p>
      <w:r>
        <w:t>Le raisonnement des contribuables ne peut être suivi, la société et le contribuable étant deux sujets fiscaux distincts, imposés séparément. En outre, les dettes de la société qu'elles aient été déduites de façon correcte ou non du bénéfice de la société, ne modifient pas les montants bruts des prestations appréciables en argent reçues par le contribuable sur ses comptes privés qui correspondent au chiffre d'affaires encaissé sur ces comptes.</w:t>
      </w:r>
    </w:p>
    <w:p>
      <w:r>
        <w:t>Les griefs concernant la déduction du bénéfice net de l'exploitation indépendante ou celle des amendes de la société du rendement de participation, doivent être écartés pour les mêmes motifs. 7)</w:t>
      </w:r>
    </w:p>
    <w:p>
      <w:r>
        <w:t>Les recourants estiment encore que les amendes doivent être déduites de la fortune des contribuables.</w:t>
      </w:r>
    </w:p>
    <w:p>
      <w:r>
        <w:t>À cet égard, le Tribunal fédéral a retenu qu'en raison de la présomption d'innocence, ces dettes ne sont pas effectives, s'agissant de dettes futures qui ne deviendront exigibles, le cas échéant, qu'à l'entrée en force de la condamnation (arrêt du Tribunal fédéral 2C_874/2018 du 17 avril 2019 consid.12.2).</w:t>
      </w:r>
    </w:p>
    <w:p>
      <w:r>
        <w:t>L'argumentation des recourants qui demandent d'une part la déduction des amendes parce que le contribuable a reconnu sa faute et qu'ainsi sa culpabilité est établie rendant la dette effective mais qui, d'autre part, en contestent le montant, tombe donc à faux.</w:t>
      </w:r>
    </w:p>
    <w:p>
      <w:r>
        <w:t>Le grief doit par conséquent être écarté. 8)</w:t>
      </w:r>
    </w:p>
    <w:p>
      <w:r>
        <w:t>Les recourants font grief au TAPI d'avoir retenu une valeur fiscale des parts sociales alors que la société était en faillite. Subsidiairement ou alternativement, ils estiment que doivent être pris en compte, dans un bilan corrigé de la société, une provision pour dettes et amendes fiscales relatives aux rappels d'impôts ainsi que la déduction des intérêts sur rappel d'impôt et de la TVA, déductions qui impliqueraient un surendettement.</w:t>
      </w:r>
    </w:p>
    <w:p>
      <w:r>
        <w:t>a. L'impôt sur la fortune a pour objet l'ensemble de la fortune nette après déductions sociales (art. 46 LIPP), qui comprend notamment les actions, les obligations et les valeurs mobilières de toute nature (art. 47 let. b LIPP). Aux termes de l'art. 49 LIPP, l'état de la fortune mobilière et immobilière est établi au 31 décembre de l'année pour laquelle l'impôt est dû (al. 1) et la fortune est estimée, en général, à la valeur vénale (al. 2). La formulation de ce dernier alinéa ne s'oppose pas à la prise en compte de la valeur de rendement pour déterminer la valeur vénale des titres non cotés en bourse, comme le prévoyait d'ailleurs</w:t>
      </w:r>
    </w:p>
    <w:p>
      <w:r>
        <w:t>- 18/22 - A/2395/2020 expressément l'ancien droit en vigueur jusqu'au 31 décembre 2009 (art. 5 aLIPP ; arrêt 2C_328/2019 du 16 septembre 2019 consid. 4.4).</w:t>
      </w:r>
    </w:p>
    <w:p>
      <w:r>
        <w:t>b. S'agissant de l'évaluation de participations dans des sociétés non cotées, le Tribunal fédéral se réfère et applique la circulaire n° 28 de la Conférence suisse des impôts contenant des instructions concernant l'estimation des titres non cotés en vue de l'impôt sur la fortune (ci-après: la circulaire CSI n° 28 ; arrêt du Tribunal fédéral 2C_954/2020 du 26 juillet 2021 consid. 5.3).</w:t>
      </w:r>
    </w:p>
    <w:p>
      <w:r>
        <w:t>Cette circulaire est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8.1.2 ; 2C_866/2019 du 27 août 2020 consid. 4.4).</w:t>
      </w:r>
    </w:p>
    <w:p>
      <w:r>
        <w:t>c. Une société ne doit être estimée selon les principes applicables à un bilan en liquidation que si une liquidation sera exécutée dans un proche avenir, soit si le jour déterminant pour l'estimation, elle ne poursuit plus son but social statutaire, mais procède à la réalisation de ses actifs et exécute ses engagements, indépendamment de l'inscription de la liquidation au registre du commerce (circulaire CSI n° 28 p. 62). Selon la jurisprudence zurichoise citée dans la circulaire, une société ne doit être estimée selon les principes applicables à un bilan de liquidation que si une liquidation sera exécutée dans un proche avenir (VGer ZH – SB.2007.00097 – du 14 mai 2008.</w:t>
      </w:r>
    </w:p>
    <w:p>
      <w:r>
        <w:t>d. Le principe d'autorité du bilan lie non seulement l'autorité fiscale, mais aussi le contribuable lui-même, qui est tenu par sa comptabilité (arrêt du Tribunal fédéral 2C_455/2017 du 17 septembre 2018 consid. 6.1 ; ATA/969/2020 du 29 septembre 2020 consid. 8c).</w:t>
      </w:r>
    </w:p>
    <w:p>
      <w:r>
        <w:t>e. En l'espèce, à la fin des périodes 2012 et 2013, la société n'était pas en liquidation ou proche de l'être et le grief des recourants sera écarté car il n'y avait pas lieu d'appliquer les principes prévus pour la valorisation de sociétés en liquidation. 9)</w:t>
      </w:r>
    </w:p>
    <w:p>
      <w:r>
        <w:t>Le recourant estime que la quotité des amendes devait être revue à la baisse en raison de sa pleine collaboration et de la punition que représentait la perte de la Sàrl, en faillite. De plus, les amendes portent sur des chiffres d'affaires purement théoriques et ne répondaient à aucun objectif de prévention.</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w:t>
      </w:r>
    </w:p>
    <w:p>
      <w:r>
        <w:t>- 19/22 - A/2395/2020 soustrait ; si la faute est légère, l'amende peut être réduite jusqu'au tiers de ce montant et si elle est grave, elle peut au plus être triplée (al. 2).</w:t>
      </w:r>
    </w:p>
    <w:p>
      <w:r>
        <w:t>L'art. 56 al. 1 LHID et les art. 69 et 70 LPFisc prévoient une réglementation similaire.</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w:t>
      </w:r>
    </w:p>
    <w:p>
      <w:r>
        <w:t>c. La quotité de l'amende n'est pas déterminée en fonction de l'intention de soustraire ou de la négligence qui peut être reprochée au contribuable mais de l'intensité de la faute et doit être fixée en fonction de la culpabilité (ATF 135 II 86 consid. 4.4). En revanche, le fait que l'auteur ait agi intentionnellement ou par négligence peut avoir une incidence sur l'intensité de la faute et, partant, sur la quotité de l'amende (ATA/1155/2017 du 2 août 2017 consid. 23b).</w:t>
      </w:r>
    </w:p>
    <w:p>
      <w:r>
        <w:t>Le comportement est considéré comme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631 ; Xavier OBERSON, op. cit., § 26 m.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w:t>
      </w:r>
    </w:p>
    <w:p>
      <w:r>
        <w:t>d. En l'espèce, le caractère intentionnel des soustractions n'est pas remis en cause et celles-ci concernent cinq années fiscales. Contrairement à ce qu'allègue le recourant, les montants retenus sont fondés sur les recettes de la société, effectivement encaissées et les charges justifiées par pièces.</w:t>
      </w:r>
    </w:p>
    <w:p>
      <w:r>
        <w:t>L'AFC-GE, suivie par le TAPI, a considéré que la faute devait être qualifiée de grave. Cette conclusion ne peut pas être remise en question par les</w:t>
      </w:r>
    </w:p>
    <w:p>
      <w:r>
        <w:t>- 20/22 - A/2395/2020 conséquences subies par le contribuable de faits qui lui sont reprochés et qu'il a intentionnellement réalisés.</w:t>
      </w:r>
    </w:p>
    <w:p>
      <w:r>
        <w:t>Quant à la situation personnelle du contribuable ainsi que sa bonne collaboration, elles ont été prises en compte par l'AFC-GE, les amendes ayant été réduites à la moitié des impôts soustraits, étant rappelé que seule une infraction commise par négligence permettrait encore de réduire l'amende à un tiers, condition qui n'est pas réalisée en l'espèce, et que le fait que la société ait également été amendée ne justifie pas une réduction de la quotité (arrêt du Tribunal fédéral 2C_874/2019 précité consid. 8.2.2). Il appert ainsi qu'en fixant la peine à la moitié de l'impôt soustrait, l'AFC-GE n'a pas abusé de son pouvoir d'appréciation.</w:t>
      </w:r>
    </w:p>
    <w:p>
      <w:r>
        <w:t>Au vu de ce qui précède, le recours interjeté par les contribuables sera rejeté, tandis que celui de l'AFC-GE sera admis. 10) Vu l'issue du litige, un émolument de CHF 1'000.- sera mis à la charge des contribuables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