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ATA/441/2018 vom 8. Mai 2018</w:t>
      </w:r>
    </w:p>
    <w:p>
      <w:r>
        <w:t>GE Cour de justice, 2018-05-08, FR</w:t>
      </w:r>
    </w:p>
    <w:p>
      <w:r>
        <w:rPr>
          <w:b/>
        </w:rPr>
        <w:t xml:space="preserve">Quelle: </w:t>
      </w:r>
      <w:r>
        <w:t>https://mcp.opencaselaw.ch/entscheid/ge_gerichte_ATA_441_2018</w:t>
      </w:r>
    </w:p>
    <w:p>
      <w:r>
        <w:t>FR: GE_GERICHTE ATA/441/2018 du 8 mai 2018</w:t>
      </w:r>
    </w:p>
    <w:p>
      <w:r>
        <w:t>IT: GE_GERICHTE ATA/441/2018 del 8 maggio 2018</w:t>
      </w:r>
    </w:p>
    <w:p>
      <w:pPr>
        <w:pStyle w:val="Heading2"/>
      </w:pPr>
      <w:r>
        <w:t>Regeste</w:t>
      </w:r>
    </w:p>
    <w:p>
      <w:r>
        <w:t>Résumé: Rejet du recours, dans la mesure de sa recevabilité, interjeté par un avocat contre une décision de l'OCPM refusant de lui communiquer l'adresse personnelle d'une magistrate faisant l'objet d'une protection particulière, à défaut d'intérêt privé prépondérant.</w:t>
      </w:r>
    </w:p>
    <w:p>
      <w:pPr>
        <w:pStyle w:val="Heading2"/>
      </w:pPr>
      <w:r>
        <w:t>Erwägungen</w:t>
      </w:r>
    </w:p>
    <w:p>
      <w:r>
        <w:rPr>
          <w:b/>
        </w:rPr>
        <w:t>E. 26</w:t>
      </w:r>
    </w:p>
    <w:p>
      <w:r>
        <w:t>septembre 2010 - LOJ - E 2 05 ; art. 62 al. 1 let. a de la loi sur la procédure administrative du 12 septembre 1985 - LPA - E 5 10).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w:t>
      </w:r>
    </w:p>
    <w:p>
      <w:r>
        <w:t>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(ATA/286/2018 du 27 mars 2018 ; ATA/180/2018 du 27 février 2018 et les références citées).</w:t>
      </w:r>
    </w:p>
    <w:p>
      <w:r>
        <w:t>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de même insuffisant (ATA/805/2013 du 10 décembre 2013).</w:t>
      </w:r>
    </w:p>
    <w:p>
      <w:r>
        <w:t>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w:t>
      </w:r>
    </w:p>
    <w:p>
      <w:r>
        <w:t>- 8/12 - A/189/2018</w:t>
      </w:r>
    </w:p>
    <w:p>
      <w:r>
        <w:t>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Cette exigence permet aux tribunaux de s’assurer de trancher uniquement des questions concrètes et non de prendre des décisions à caractère théorique, ce qui répond à un souci d’économie de procédure (ATF 136 I 274 consid. 1.3).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arrêt du Tribunal fédéral 2C_36/2018 précité consid. 5.2 ; ATA/211/2018 du 6 mars 2018 et les références citées). 3)</w:t>
      </w:r>
    </w:p>
    <w:p>
      <w:r>
        <w:t>En l’espèce, le recourant, avocat, bien qu’agissant en personne, n’apparaît toutefois pas agir pour la défense de ses propres intérêts, mais pour ceux de tiers, à savoir ses clients, et n’a donc pas d’intérêt personnel à recourir. En outre, en tant qu’il invoque une procédure de récusation « à conduire », son intérêt actuel à recourir apparaît également faire défaut. Ces questions peuvent toutefois souffrir de rester indécises au regard de ce qui suit. 4)</w:t>
      </w:r>
    </w:p>
    <w:p>
      <w:r>
        <w:t>Le recourant se plaint de plusieurs violations de son droit d’être entendu, tant en procédure non contentieuse que devant la chambre de céans.</w:t>
      </w:r>
    </w:p>
    <w:p>
      <w:r>
        <w:t>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- 9/12 - A/189/2018</w:t>
      </w:r>
    </w:p>
    <w:p>
      <w:r>
        <w:t>b. En l’espèce, le recourant soutient qu’il n’a pas pu participer à la procédure de médiation par-devant le préposé cantonal, dont il n’avait pas été informé, ni n’a pu se déterminer sur le préavis rendu à son issue, qui a été suivi par l’autorité intimée. Il perd toutefois de vue que sa requête relève de la protection des données personnelles et leur communication, qui ne prévoit pas de procédure de médiation, mais de préavis, notamment en cas d’opposition de la personne consultée à la transmission de ses informations. Or, le recourant n’ignorait pas que la magistrate avait refusé que son adresse personnelle soit divulguée, ce dont l’autorité intimée l’avait informé, de sorte qu’il pouvait s’attendre à la saisine du préposé cantonal, conformément à l’art. 39 al. 10 LIPAD, lequel n’était pas tenu de lui transmettre directement son préavis. Ce dernier lui a toutefois été transmis à l’appui de la décision entreprise, le recourant ayant pu se déterminer à ce propos devant la chambre de céans, comme il l’a fait dans ses écritures. Le recourant était également au courant du fait que l’autorité intimée entendait refuser sa requête, ce dont elle l’a informé à plusieurs reprises.</w:t>
      </w:r>
    </w:p>
    <w:p>
      <w:r>
        <w:t>Quant à l’appel en cause de l’époux de la magistrate ordonné par le juge délégué, le recourant a également pu se déterminer à ce propos dans ses écritures et répondre aux observations de l’intéressé, comme il l’a fait, étant précisé que cette décision peut être prise d'office en vertu de l'art. 71 al. 1 LPA, et qu'elle ne lui cause par ailleurs aucun préjudice.</w:t>
      </w:r>
    </w:p>
    <w:p>
      <w:r>
        <w:t>Il s’ensuit que le grief de violation du droit d’être entendu sera écarté. 5)</w:t>
      </w:r>
    </w:p>
    <w:p>
      <w:r>
        <w:t>La LIPAD régit notamment la protection des données personnelles en mains des institutions publiques (art. 1 al. 1 et 3 al. 1 LIPAD), soit toutes les informations se rapportant à une personne physique ou morale de droit privé identifiée ou identifiable (art. 4 let. a LIPAD).</w:t>
      </w:r>
    </w:p>
    <w:p>
      <w:r>
        <w:t>L’art. 39 LIPAD traite de la communication des données personnelles et prévoit que leur communication à une tierce personne de droit privé n’est possible, alternativement, que si une loi ou un règlement le prévoit explicitement (al. 9 let. a) ou un intérêt privé digne de protection du requérant le justifie sans qu’un intérêt prépondérant des personnes concernées ne s’y oppose (al. 9 let. b). Dans ce dernier cas, l’organe requis est tenu de consulter les personnes concernées avant toute communication, à moins que cela n’implique un travail disproportionné. À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(al. 10). Outre aux parties, l’organe requis communique sa décision aux personnes consultées (al. 11). 6)</w:t>
      </w:r>
    </w:p>
    <w:p>
      <w:r>
        <w:t>Selon l’art. 3 al. 1 du règlement relatif à la délivrance de renseignements et de documents ainsi qu’à la perception de diverses taxes, par l’office cantonal</w:t>
      </w:r>
    </w:p>
    <w:p>
      <w:r>
        <w:t>- 10/12 - A/189/2018 de la population et des migrations et des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w:t>
      </w:r>
    </w:p>
    <w:p>
      <w:r>
        <w:t>L’art. 7 RDROCPMC a trait aux adresses non communicables et prévoit que les particuliers qui se prévalent d’un juste motif peuvent demander à l’OCPM que leur adresse ne soit pas communiquée au public (al. 1). L’interdiction de divulguer l’adresse n’est pas opposable aux autorités administratives et judiciaires. Elle n’est pas non plus opposable à une personne physique ou morale qui démontre qu’elle doit faire valoir ses droits en justice (al. 3).</w:t>
      </w:r>
    </w:p>
    <w:p>
      <w:r>
        <w:t>La chambre de céans a jugé que dans l’application de l’art. 3 RDROCPMC, l’intérêt privé à obtenir l’adresse d’une personne pour faire valoir ses droits en justice constitue un intérêt privé prépondérant, qui l’emporte sur la protection de la sphère privée de la personne concernée (ATA/373/2014 du 20 mai 2014 ; ATA/819/2012 du 4 décembre 2012). 7)</w:t>
      </w:r>
    </w:p>
    <w:p>
      <w:r>
        <w:t>En l’espèce, il n’est pas contesté que la magistrate, en raison de ses fonctions, bénéficie de la protection conférée par l’art. 7 RDROCPMC s’agissant de la divulgation de son adresse privée, de même que l’appelé en cause, également juge, et qu’elle a refusé la transmission de cette information au recourant, lequel ne l’a pas renseignée sur l’identité de ses clients.</w:t>
      </w:r>
    </w:p>
    <w:p>
      <w:r>
        <w:t>Le recourant allègue être au bénéfice d’un intérêt privé prépondérant à obtenir le renseignement demandé par rapport à celui de la magistrate à ce que son adresse privée ne soit pas divulguée.</w:t>
      </w:r>
    </w:p>
    <w:p>
      <w:r>
        <w:t>S’il est vrai que, dans ce cadre, en application du RDROCPMC, l’intérêt privé de la personne faisant valoir ses droits en justice l’emporte en principe, tel n’est pas le cas s’agissant du recourant. En effet, celui-ci, qui agit en personne mais allègue être mandaté par ses clients, les destinataires de l’information sollicitée, n’a fourni aucune explication au sujet de l’action judiciaire en cause, indiquant tantôt qu’elle était pendante, tantôt qu’il s’agissait d’une « cause à conduire », sans donner d’autres explications à ce sujet qu’une éventuelle demande de récusation à l’encontre de la magistrate. Dans ce cadre, le recourant ne saurait éluder les dispositions en la matière par le biais d’une demande en application de la LIPAD, dès lors qu’il lui appartiendra, le moment venu, s’il estime qu’un risque de prévention existe, de demander la récusation de la magistrate dans la procédure intentée par ses clients.</w:t>
      </w:r>
    </w:p>
    <w:p>
      <w:r>
        <w:t>- 11/12 - A/189/2018</w:t>
      </w:r>
    </w:p>
    <w:p>
      <w:r>
        <w:t>Rien n’empêchait au demeurant les clients du recourant de demander directement le renseignement sollicité, ce qui aurait permis à la magistrate de se déterminer en pleine connaissance de cause au sujet de la requête et au recourant de ne pas à avoir à invoquer son secret professionnel. Dans ce contexte, bien que l’identité du recourant soit connue, celle de ses clients à qui l’information est destinée ne l’est pas, étant précisé qu’en application des règles du mandat, l’avocat est tenu de rendre compte à ses mandants, et le fait qu’il soit soumis aux dispositions légales et déontologiques réglementant la profession ne saurait ni le soustraire à cette obligation, ni lui conférer un intérêt privé prépondérant.</w:t>
      </w:r>
    </w:p>
    <w:p>
      <w:r>
        <w:t>À cela s’ajoute que, quoi qu’en dise le recourant, la divulgation de l’adresse de la magistrate a également des répercussions sur son époux, exerçant la même profession et aussi au bénéfice de la protection de l’art. 7 RDROCPMC, ainsi que sur leurs enfants. Leur intérêt à ce que leur adresse ne soit pas divulguée à tout justiciable dont ils ignorent l’identité est également prépondérant par rapport à celui du recourant à avoir accès à cette information pour ses clients. 8)</w:t>
      </w:r>
    </w:p>
    <w:p>
      <w:r>
        <w:t>Le recours sera par conséquent rejeté en tant qu’il est recevable. 9)</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