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ATA/440/2020 vom 30. April 2020</w:t>
      </w:r>
    </w:p>
    <w:p>
      <w:r>
        <w:t>GE Cour de justice, 2020-04-30, FR</w:t>
      </w:r>
    </w:p>
    <w:p>
      <w:r>
        <w:rPr>
          <w:b/>
        </w:rPr>
        <w:t xml:space="preserve">Quelle: </w:t>
      </w:r>
      <w:r>
        <w:t>https://mcp.opencaselaw.ch/entscheid/ge_gerichte_ATA_440_2020</w:t>
      </w:r>
    </w:p>
    <w:p>
      <w:r>
        <w:t>FR: GE_GERICHTE ATA/440/2020 du 30 avril 2020</w:t>
      </w:r>
    </w:p>
    <w:p>
      <w:r>
        <w:t>IT: GE_GERICHTE ATA/440/2020 del 30 aprile 2020</w:t>
      </w:r>
    </w:p>
    <w:p>
      <w:pPr>
        <w:pStyle w:val="Heading2"/>
      </w:pPr>
      <w:r>
        <w:t>Regeste</w:t>
      </w:r>
    </w:p>
    <w:p>
      <w:r>
        <w:t>Résumé: Application de la valeur locative suisse à un bien immobilier sis en Espagne, propriété d’un couple assujetti de manière illimitée à l’impôt en Suisse. Admission du recours de l’AFC-GE.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l’imposition de la valeur locative relative à l’immeuble des intimés sis en Espagne pour l’année fiscale 2012 en matière d’ICC et d’IFD. 3) a. De jurisprudence constante, les questions de droit matériel sont résolues en fonction du droit en vigueur lors des périodes fiscales litigieuses (ATA/1100/2019 du 25 juin 2019 consid. 3b et les références citées).</w:t>
      </w:r>
    </w:p>
    <w:p>
      <w:r>
        <w:t>b. Le présent litige concernant la période fiscale 2012, la cause est ainsi régie par le droit en vigueur durant cette période, à savoir respectivement les dispositions de la LIFD, de la loi fédérale sur l’harmonisation des impôts directs des cantons et des communes du 14 décembre 1990 (LHID - RS 642.14) et celles</w:t>
      </w:r>
    </w:p>
    <w:p>
      <w:r>
        <w:t>- 5/9 - A/3839/2018 de la loi sur l’imposition des personnes physiques du 27 septembre 2009 (LIPP - D 3 08).</w:t>
      </w:r>
    </w:p>
    <w:p>
      <w:r>
        <w:t>Par ailleurs, la question étant traitée de la même manière en droit fédéral et en droit cantonal harmonisé, le présent arrêt traite simultanément des deux impôts, comme l’admet la jurisprudence (ATA/1834/2019 du 17 décembre 2019 consid. 2b et la référence citée). 4)</w:t>
      </w:r>
    </w:p>
    <w:p>
      <w:r>
        <w:t>Le Tribunal fédéral a précisé à titre liminaire, dans l’arrêt dans l’attente duquel la procédure a été suspendue et qui concernait la déductibilité des frais d’entretien immobiliers concernant un immeuble situé en Espagne, pays ne connaissant pas l’imposition de la valeur locative,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2C_127/2019 précité consid. 5.1 et les références citées).</w:t>
      </w:r>
    </w:p>
    <w:p>
      <w:r>
        <w:t>Le Tribunal fédéral a aussi retenu que la Convention du 26 avril 1966 entre la Suisse et l’Espagne en vue d’éviter les doubles impositions en matière d’impôts sur le revenu et sur la fortune (CDI CH-ESP ; RS 0.672.933.21) ne s’opposait pas à ces principes. 5)</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Yves NOËL in Danielle YERSIN/Yves NOËL [éd.], Impôt fédéral direct, Commentaire de la LIFD, 2ème éd., 2017, n. 55 ad art. 16 LIFD). 6)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w:t>
      </w:r>
    </w:p>
    <w:p>
      <w:r>
        <w:t>- 6/9 - A/3839/2018 est déterminée compte tenu des conditions locales et de l’utilisation effective du logement ou du domicile du contribuable (art. 21 al. 2 LIFD).</w:t>
      </w:r>
    </w:p>
    <w:p>
      <w:r>
        <w:t>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w:t>
      </w:r>
    </w:p>
    <w:p>
      <w:r>
        <w:t>c.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7)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w:t>
      </w:r>
    </w:p>
    <w:p>
      <w:r>
        <w:t>- 7/9 - A/3839/2018 principe de l’égalité de traitement (Nicolas MERLINO in Yves NOËL/Florence AUBRY GIRARDIN, op. cit., n. 109 ad art. 21 LIFD).</w:t>
      </w:r>
    </w:p>
    <w:p>
      <w:r>
        <w:t>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w:t>
      </w:r>
    </w:p>
    <w:p>
      <w:r>
        <w:t>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La pratique de l’AFC-GE fait application de l’information 1991, qui prévoit que la valeur locative correspond à 4,5 % de la valeur fiscale du bien (villa ou appartement). Pour l’ICC, ce taux est en outre appliqué après un abattement, qui est en l’espèce de 4 % s’agissant d’un immeuble sis en Espagne.</w:t>
      </w:r>
    </w:p>
    <w:p>
      <w:r>
        <w:t>c. S’agissant de l’application de ces directives et de la conformité de la méthode forfaitaire de calcul de la valeur locative, le Tribunal fédéral a déjà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 8)</w:t>
      </w:r>
    </w:p>
    <w:p>
      <w:r>
        <w:t>En l’espèce, le TAPI a retenu que la fixation de la valeur locative ressortissait à la souveraineté des États et que le seul fait, pour l’Espagne, de déterminer celle-ci sur la base de critères différents de ceux du droit suisse ne justifiait pas l’application de l’information 1991 et du taux de 4,5 % qu’elle prévoyait. Le Tribunal fédéral a toutefois considéré que l’Espagne était un pays n’imposant pas la valeur locative dans l’arrêt dans l’attente duquel la cause a été suspendue et qui concernait notamment l’imposition de la valeur locative d’un immeuble sis en Espagne (arrêt du Tribunal fédéral 2C_137/2019 précité consid. 5). Il n’y a dès lors pas lieu d’examiner plus avant cette question, ni de procéder, pour les mêmes motifs, à un comparatif entre le droit espagnol et le</w:t>
      </w:r>
    </w:p>
    <w:p>
      <w:r>
        <w:t>- 8/9 - A/3839/2018 droit suisse. C’est dès lors à juste titre que l’autorité recourante a appliqué l’information 1991 au bien immobilier des intimés sis en Espagne et fixé la valeur locative à 4,5 % de la valeur fiscale de l’immeuble.</w:t>
      </w:r>
    </w:p>
    <w:p>
      <w:r>
        <w:t>Il s’ensuit que le recours sera admis. Le jugement entrepris sera par conséquent annulé s’agissant de la valeur locative du bien immobilier des intimés sis en Espagne et les bordereaux de réclamation du 3 octobre 2018 concernant l’ICC et l’IFD 2012 des intimés seront rétablis. 9)</w:t>
      </w:r>
    </w:p>
    <w:p>
      <w:r>
        <w:t>Vu l’issue du litige, un émolument de CHF 500.- sera mis à la charge des intimés, qui ont pris des conclusions et succombent (art. 87 al. 1 LPA). Malgré cette issue, aucune indemnité de procédure ne sera allouée, l’autorité recourante qui a recouru dans son propre intérêt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