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ATA/440/2016 vom 26. Mai 2016</w:t>
      </w:r>
    </w:p>
    <w:p>
      <w:r>
        <w:t>GE Cour de justice, 2016-05-26, FR</w:t>
      </w:r>
    </w:p>
    <w:p>
      <w:r>
        <w:rPr>
          <w:b/>
        </w:rPr>
        <w:t xml:space="preserve">Quelle: </w:t>
      </w:r>
      <w:r>
        <w:t>https://mcp.opencaselaw.ch/entscheid/ge_gerichte_ATA_440_2016</w:t>
      </w:r>
    </w:p>
    <w:p>
      <w:r>
        <w:t>FR: GE_GERICHTE ATA/440/2016 du 26 mai 2016</w:t>
      </w:r>
    </w:p>
    <w:p>
      <w:r>
        <w:t>IT: GE_GERICHTE ATA/440/2016 del 26 maggio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w:t>
      </w:r>
    </w:p>
    <w:p>
      <w:r>
        <w:t>- 4/7 - A/1328/2016</w:t>
      </w:r>
    </w:p>
    <w:p>
      <w:r>
        <w:rPr>
          <w:b/>
        </w:rPr>
        <w:t>E. 2</w:t>
      </w:r>
    </w:p>
    <w:p>
      <w:r>
        <w:t>Selon l’art. 10 al. 2 1ère phr. LaLEtr, la chambre administrative doit statuer dans les dix jours qui suivent sa saisine. Ayant reçu le recours le 17 mai 2016 et statuant ce jour, elle respecte ce délai.</w:t>
      </w:r>
    </w:p>
    <w:p>
      <w:r>
        <w:t>La chambre administrative est en outre compétente pour apprécier l'opportunité des décisions portées devant elle en cette matière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w:t>
      </w:r>
    </w:p>
    <w:p>
      <w:r>
        <w:t>Aux termes de l’art. 76 al. 1 let. b ch. 1 LEtr, lorsqu'une décision de renvoi ou d'expulsion a été notifiée, l'autorité compétente peut, afin d'en assurer l'exécution, placer la personne concernée en détention administrative, notamment si elle menace sérieusement d’autres personnes ou met gravement en danger leur vie ou leur intégrité corporelle et fait l’objet d’une poursuite pénale (art. 75 al. 1 let. g LEtr) ou si elle a été condamnée pour crime (art. 75 al. 1 let. h LEtr), par quoi il faut entendre une infraction passible d’une peine privative de liberté de plus de trois ans (art. 10 al. 2 CP ; ATA/848/2014 du 31 octobre 2014 consid. 5 ; ATA/295/2011 du 12 mai 2011 consid. 4).</w:t>
      </w:r>
    </w:p>
    <w:p>
      <w:r>
        <w:rPr>
          <w:b/>
        </w:rPr>
        <w:t>E. 5</w:t>
      </w:r>
    </w:p>
    <w:p>
      <w:r>
        <w:t>a. En vertu de l'art. 76 al. 1 let. b ch. 3 et 4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ou si son comportement permet de conclure qu’elle se refuse à obtempérer aux instructions des autorités.</w:t>
      </w:r>
    </w:p>
    <w:p>
      <w:r>
        <w:t>b. Ces chiffres 3 et 4 décrivent tous deux les comportements permettant de conclure à l'existence d'un risque de fuite ou de disparition ; ils doivent donc être envisagés ensemble (arrêt du Tribunal fédéral 2C_128/2009 du 30 mars 2009 consid. 3.1).</w:t>
      </w:r>
    </w:p>
    <w:p>
      <w:r>
        <w:t>- 5/7 - A/1328/2016</w:t>
      </w:r>
    </w:p>
    <w:p>
      <w:r>
        <w:t>Selon la jurisprudence, un risque de fuite - c’est-à-dire la réalisation de l’un de ces deux motifs - existe notamment lorsque l'étranger a déjà disparu une première fois dans la clandestinité, s’il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w:t>
      </w:r>
    </w:p>
    <w:p>
      <w:r>
        <w:t>c. En l’espèce, le recourant a été condamné pour vol, infraction qualifiée de crime au sens de l’art. 10 al. 2 CP. Il a par ailleurs constamment déclaré ne pas vouloir collaborer à l’exécution de son renvoi et refuser de retourner en Ukraine ou en Moldavie. En conséquence, le principe de la détention administrative sera confirmé.</w:t>
      </w:r>
    </w:p>
    <w:p>
      <w:r>
        <w:rPr>
          <w:b/>
        </w:rPr>
        <w:t>E. 6</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ATA/189/2015 du 18 février 2015 consid. 7a).</w:t>
      </w:r>
    </w:p>
    <w:p>
      <w:r>
        <w:t>À teneur de l’art. 76 al. 4 LEtr, les démarches nécessaires à l'exécution du renvoi ou de l'expulsion doivent être entreprises sans tarder.</w:t>
      </w:r>
    </w:p>
    <w:p>
      <w:r>
        <w:t>En l’espèce, le dossier ne contient aucun justificatif des démarches entreprises par les autorités compétentes en vue de l’exécution du renvoi. Les autorités cantonales se réfèrent à un courriel d’un collaborateur du SEM pour soutenir que la délégation moldave qui a auditionné A______ début décembre</w:t>
      </w:r>
    </w:p>
    <w:p>
      <w:r>
        <w:t>- 6/7 - A/1328/2016 2015 serait convaincue qu’il était moldave mais que ses données personnelles n’étaient pas correctes. Aucune pièce émanant des autorités moldaves n’est toutefois produite permettant de retenir que des démarches ont été entreprises par elles pour déterminer l’identité de l’intéressé. Aucun échange de correspondance entre autorités suisses et moldaves au sujet de l’état d’avancement des recherches ne figure au dossier, ni d’une évaluation du temps qu’elles pourraient prendre. Compte tenu du temps écoulé depuis l’audition centralisée, soit plus de cinq mois, et nonobstant le comportement du recourant, une détention administrative de six mois ne peut être avalisée, sauf à vider les dispositions sur le contrôle de celle-ci de toute substance en admettant que les autorités en charge de l’exécution du renvoi puissent se montrer minimalistes dans la démonstration qu’elles ne demeurent pas passives vis-à-vis des autorités étrangères compétentes.</w:t>
      </w:r>
    </w:p>
    <w:p>
      <w:r>
        <w:t>Au vu de ce qui précède, l’ordre de mise en détention sera confirmé pour une durée de deux mois, soit jusqu’au 1er juillet 2016, une prolongation étant possible si la démonstration des démarches en cours ou entreprises depuis la mise en détention est apportée à satisfaction de droit.</w:t>
      </w:r>
    </w:p>
    <w:p>
      <w:r>
        <w:rPr>
          <w:b/>
        </w:rPr>
        <w:t>E. 7</w:t>
      </w:r>
    </w:p>
    <w:p>
      <w:r>
        <w:t>Au vu de ce qui précède, le recours sera admis partiellement et le jugement du TAPI comme l’ordre de remise en détention administrative seront réformés en ce qu’ils confirment l’ordre de mise en détention litigieuse pour une durée de six mois, celle-ci étant ramenée à deux mois.</w:t>
      </w:r>
    </w:p>
    <w:p>
      <w:r>
        <w:rPr>
          <w:b/>
        </w:rPr>
        <w:t>E. 8</w:t>
      </w:r>
    </w:p>
    <w:p>
      <w:r>
        <w:t>Vu la nature et l’issue du litige, aucun émolument ne sera perçu et une indemnité de procédure de CHF 800.- sera allouée au recourant, à la charge de l’État de Genève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