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ATA/439/2005 vom 21. Juni 2005</w:t>
      </w:r>
    </w:p>
    <w:p>
      <w:r>
        <w:t>GE Cour de justice, 2005-06-21, FR</w:t>
      </w:r>
    </w:p>
    <w:p>
      <w:r>
        <w:rPr>
          <w:b/>
        </w:rPr>
        <w:t xml:space="preserve">Quelle: </w:t>
      </w:r>
      <w:r>
        <w:t>https://mcp.opencaselaw.ch/entscheid/ge_gerichte_ATA_439_2005</w:t>
      </w:r>
    </w:p>
    <w:p>
      <w:r>
        <w:t>FR: GE_GERICHTE ATA/439/2005 du 21 juin 2005</w:t>
      </w:r>
    </w:p>
    <w:p>
      <w:r>
        <w:t>IT: GE_GERICHTE ATA/439/2005 del 21 giugno 2005</w:t>
      </w:r>
    </w:p>
    <w:p>
      <w:pPr>
        <w:pStyle w:val="Heading2"/>
      </w:pPr>
      <w:r>
        <w:t>Erwägungen</w:t>
      </w:r>
    </w:p>
    <w:p>
      <w:r>
        <w:rPr>
          <w:b/>
        </w:rPr>
        <w:t>E. 19</w:t>
      </w:r>
    </w:p>
    <w:p>
      <w:r>
        <w:t>Par écriture du 5 janvier 2005, les époux Schneider ont interjeté recours à l’encontre de la décision de la commission. Ils ont sollicité la restitution de l’effet suspensif ainsi que la comparution personnelle des parties. Pour le surplus, ils ont persisté dans les griefs soutenus devant la commission en concluant à l’annulation de la décision de la commission ainsi que de l’autorisation de construire délivrée par le DAEL. Leur argumentation sera reprise ci-après en tant que de besoin.</w:t>
      </w:r>
    </w:p>
    <w:p>
      <w:r>
        <w:rPr>
          <w:b/>
        </w:rPr>
        <w:t>E. 20</w:t>
      </w:r>
    </w:p>
    <w:p>
      <w:r>
        <w:t>Tout en affirmant son soutien à la requête de restitution d’effet suspensif des recourants, la communauté des copropriétaires a informé le Tribunal administratif, par pli du 18 janvier 2005, qu’elle renonçait à toute nouvelle procédure.</w:t>
      </w:r>
    </w:p>
    <w:p>
      <w:r>
        <w:rPr>
          <w:b/>
        </w:rPr>
        <w:t>E. 21</w:t>
      </w:r>
    </w:p>
    <w:p>
      <w:r>
        <w:t>Par courrier du 21 janvier 2005, le DAEL s’est opposé à la restitution de l’effet suspensif, compte tenu de l’intérêt public prépondérant poursuivi par l’autorisation de construire.</w:t>
      </w:r>
    </w:p>
    <w:p>
      <w:r>
        <w:t>- 8/13 - A/29/2005</w:t>
      </w:r>
    </w:p>
    <w:p>
      <w:r>
        <w:rPr>
          <w:b/>
        </w:rPr>
        <w:t>E. 22</w:t>
      </w:r>
    </w:p>
    <w:p>
      <w:r>
        <w:t>Le 27 janvier 2005, l’intimée a indiqué au tribunal de céans qu’elle n’entendait pas ouvrir le chantier avant que le tribunal ne se soit prononcé sur le fond du litige.</w:t>
      </w:r>
    </w:p>
    <w:p>
      <w:r>
        <w:t>En conséquence, dans sa décision du 8 février 2005 sur effet suspensif, le président du Tribunal administratif a donné acte à l’intimée de sa renonciation et a constaté que la demande de restitution d’effet suspensif devenait ainsi sans objet.</w:t>
      </w:r>
    </w:p>
    <w:p>
      <w:r>
        <w:rPr>
          <w:b/>
        </w:rPr>
        <w:t>E. 23</w:t>
      </w:r>
    </w:p>
    <w:p>
      <w:r>
        <w:t>Dans son mémoire responsif du 11 février 2005, l’intimée a conclu au rejet du recours. Elle a développé le même raisonnement que devant la commission. Ses arguments seront repris ci-après en tant que de besoin.</w:t>
      </w:r>
    </w:p>
    <w:p>
      <w:r>
        <w:rPr>
          <w:b/>
        </w:rPr>
        <w:t>E. 24</w:t>
      </w:r>
    </w:p>
    <w:p>
      <w:r>
        <w:t>Dans son écriture du 14 février 2005, le DAEL a également conclu au rejet du recours et à la confirmation de la décision de la commission. EN DROIT 1.</w:t>
      </w:r>
    </w:p>
    <w:p>
      <w:r>
        <w:t>Interjeté en temps utile devant la juridiction compétente, le recours est recevable (art. 149 LCI; art. 63 al. 1 litt. a de la loi sur la procédure administrative du 12 septembre 1985 - LPA - E 5 10). 2.</w:t>
      </w:r>
    </w:p>
    <w:p>
      <w:r>
        <w:t>Le Tribunal administratif donne acte aux intervenants du fait qu’ils renoncent à prendre des conclusions dans la présente procédure. 3.</w:t>
      </w:r>
    </w:p>
    <w:p>
      <w:r>
        <w:t>Les recourants sollicitent la comparution personnelle des parties.</w:t>
      </w:r>
    </w:p>
    <w:p>
      <w:r>
        <w:t>A titre préalable et estimant que l'état de fait ressort clairement des différentes écritures, le tribunal de céans ne procédera pas à la mesure d'instruction complémen- taire demandée par les recourants, ce d’autant plus que les parties ont déjà été entendues par la commission (art. 41 LPA). A cet égard, il est rappelé que le droit de faire administrer des preuves (art. 29 al. 2 de la Constitution fédérale du 18 avril 1999; Cst. féd. - RS 101) n'empêche pas le juge de procéder à une appréciation anticipée des preuves qui lui sont offertes, s'il peut admettre sans arbitraire qu'elles ne pourraient l'amener à modifier son opinion (ATF 120 Ib 224 consid. 2b p. 229 et les arrêts cités ; ATA/61/2004 du 20 janvier 2004, consid. 9 et les références citées). 4.</w:t>
      </w:r>
    </w:p>
    <w:p>
      <w:r>
        <w:t>Les recourants invoquent tout d’abord la violation de l’article 3 alinéa 5 LCI en soutenant que le DAEL ne leur a pas fait parvenir l’avis requis par cette disposition.</w:t>
      </w:r>
    </w:p>
    <w:p>
      <w:r>
        <w:t>a. Cette affirmation est contredite d’une part par les pièces du dossier, puis- qu’il résulte des pièces produites par le DAEL qu’un avis a été adressé tant aux recourants qu’à Mme Druon Polla.</w:t>
      </w:r>
    </w:p>
    <w:p>
      <w:r>
        <w:t>- 9/13 - A/29/2005</w:t>
      </w:r>
    </w:p>
    <w:p>
      <w:r>
        <w:t>b. D’autre part, il convient de rappeler que lors de l’adoption de l’article 3 alinéa 5 LCI (à l’époque article 3 alinéa 4 LCI), le Grand Conseil a voulu « banaliser » la procédure d’opposition. Cela signifie que si l’autorisation est délivrée, les auteurs des observations sont informés par simple avis, lequel n’est pas une décision administrative (Mémorial des séances du Grand Conseil, 1982, p. 3504 ; ATA P. du 23 mars 1988 87.TP. 321).</w:t>
      </w:r>
    </w:p>
    <w:p>
      <w:r>
        <w:t>Il s’ensuit que la non réception par l’un des opposants de l’avis prescrit par l’article 3 alinéa 5 LCI ne saurait invalider toute la procédure d’autorisation, surtout dans le cas d’espèce, où les recourants n’ont subi aucun préjudice de ce fait puisqu’ils ont été en mesure de recourir dans le délai légal. 5.</w:t>
      </w:r>
    </w:p>
    <w:p>
      <w:r>
        <w:t>Les recourants font ensuite valoir que l’autorisation de construire ne respecte pas les règles posées par l’article 69 LCI en matière de distances aux limites de propriété.</w:t>
      </w:r>
    </w:p>
    <w:p>
      <w:r>
        <w:t>a. Les PLQ ont pour but d'assurer le développement normal des voies de communication et l'aménagement des quartiers ou localités dans les zones ordinaires (art. 1 al. 1 de la loi sur l'extension des voies de communication et l'aménagement des quartiers ou localités du 9 mars 1929 - LEXT - L 1 40). Selon l'article 3 alinéa 1 LEXT, ils prévoient notamment le périmètre d'implantation, le gabarit et la destination des bâtiments à construire (let. a), la végétation à sauvegarder ou à créer (let. d) ainsi que les places de parcage et les garages (let. e).</w:t>
      </w:r>
    </w:p>
    <w:p>
      <w:r>
        <w:t>b. Les PLQ ont précisément pour but de pouvoir, dans un quartier donné, fixer les normes les plus judicieuses possibles, même si certains éléments – tels qu’en l’espèce la distance entre les bâtiments – ne respectent pas exactement les règles générales de la LCI. Une fois le PLQ en force, l’implantation prévue pour les bâtiments ne peut plus être remise en cause (ATA/651/2000 du 24 octobre 2000 consid. 4a)</w:t>
      </w:r>
    </w:p>
    <w:p>
      <w:r>
        <w:t>c. Lorsqu'un PLQ a été adopté et est en force, les autorisations de construire ne peuvent être contestées que dans la mesure où elles ne seraient pas conformes au dit plan (article 146 LCI) (ATA/61/2004 du 20 janvier 2004 consid. 10; ATA/651/2000 du 24 octobre 2000 et les références citées).</w:t>
      </w:r>
    </w:p>
    <w:p>
      <w:r>
        <w:t>Ainsi, l'autorisation de construire querellée se caractérise par le fait que son contenu a, pour partie, été défini de manière définitive. En effet, au stade de l'adoption du PLQ, des aspects essentiels tels que l'implantation, le gabarit, la destination, le volume et la dévestiture d'un projet de construction sont déjà tranchés. Dans la mesure où ces éléments acquièrent l'autorité de la chose décidée ou force obligatoire, il ne peut plus être question, en vertu de l'article 146 alinéa 1 LCI, de les remettre en cause dans le cadre d'un recours portant sur l'autorisation de construire définitive. L'objet d'un tel recours est donc limité aux questions non tranchées par le</w:t>
      </w:r>
    </w:p>
    <w:p>
      <w:r>
        <w:t>- 10/13 - A/29/2005 PLQ (cf. Exposé des motifs du projet de loi modifiant la loi sur la procédure administrative du 18 décembre 2002 - PL 8888, p. 3/4 et 4/4).</w:t>
      </w:r>
    </w:p>
    <w:p>
      <w:r>
        <w:t>Dans le cas d’espèce, le projet se rapporte à une barre d’immeubles de type R+2 dont l’implantation figure spécifiquement sur le PLQ et qui chevauche tant la parcelle des recourants que la parcelle contiguë sur laquelle est prévue l’édification du projet autorisé. Celui-ci respecte l’implantation prévue par le PLQ, ce que les recourants ne contestent d’ailleurs pas.</w:t>
      </w:r>
    </w:p>
    <w:p>
      <w:r>
        <w:t>Dès lors, en contestant l’implantation fixée par le PLQ, les recourants remettent en cause le PLQ lui-même. Or, un tel argument n’est plus recevable (art. 146 alinéa 1 LCI), étant rappelé que les modifications des plans de zones peuvent faire l’objet d’un recours au Tribunal administratif, dans un délai de 30 jours dès l’arrêté de promulgation de la loi (art. 35 al. 2 de la loi d’application de la loi fédérale sur l’aménagement du territoire du 4 juin 1987 - LaLAT - L 1 30)</w:t>
      </w:r>
    </w:p>
    <w:p>
      <w:r>
        <w:t>En conséquence, le grief tiré de la prétendue mauvaise application des règles sur les distances aux limites de propriété doit être rejeté. 6.</w:t>
      </w:r>
    </w:p>
    <w:p>
      <w:r>
        <w:t>Les recourants invoquent encore la violation des règles relatives aux distances entre bâtiments en ce qui concerne la distance entre leur bâtiment et l’immeuble projeté.</w:t>
      </w:r>
    </w:p>
    <w:p>
      <w:r>
        <w:t>a. L’article 70 alinéa 4 LCI qui traite des règles relatives aux distances entre deux constructions, réserve les dispositions des plans localisés de quartier.</w:t>
      </w:r>
    </w:p>
    <w:p>
      <w:r>
        <w:t>b. Le plan localisé de quartier n° 28'974 prescrit :</w:t>
      </w:r>
    </w:p>
    <w:p>
      <w:r>
        <w:t>Les distances et vues droites minimales prises latéralement entre bâtiments doivent être :</w:t>
      </w:r>
    </w:p>
    <w:p>
      <w:r>
        <w:t>- de 10 mètres pour les façades avec jours transparents ;</w:t>
      </w:r>
    </w:p>
    <w:p>
      <w:r>
        <w:t>- de 8 mètres pour une façade avec jours transparents et une façade sans jours ou jours translucides ;</w:t>
      </w:r>
    </w:p>
    <w:p>
      <w:r>
        <w:t>- de 6 m pour les façades sans jour ou avec jours translucides.</w:t>
      </w:r>
    </w:p>
    <w:p>
      <w:r>
        <w:t>Il est avéré que l’immeuble Neptune comporte des jours transparents à tous les étages sur la façade qui fait face à la construction projetée.</w:t>
      </w:r>
    </w:p>
    <w:p>
      <w:r>
        <w:t>Les parties conviennent que la distance séparant les deux immeubles est de 9,35 mètres.</w:t>
      </w:r>
    </w:p>
    <w:p>
      <w:r>
        <w:t>En revanche l’opinion des parties diverge en ce qui concerne le traitement des jours de la façade côté pignon de la construction projetée, destinée à faire face à l’immeuble des recourants. Selon ces derniers, en effet, les jours seraient transparents</w:t>
      </w:r>
    </w:p>
    <w:p>
      <w:r>
        <w:t>- 11/13 - A/29/2005 alors que l’intimée et le DAEL allèguent qu’ils seraient translucides. La commission a retenu qu’ils seraient translucides et a rendu sa décision sur cette base.</w:t>
      </w:r>
    </w:p>
    <w:p>
      <w:r>
        <w:t>Le tribunal de céans constate que le traitement des jours en question ne résulte pas des plans visés ne varietur, qui sont totalement muets à cet égard, contrairement à ce qu’allègue le DAEL. Il ne résulte pas non plus d’un autre document du dossier.</w:t>
      </w:r>
    </w:p>
    <w:p>
      <w:r>
        <w:t>Au vu de ce qui précède, si les jours du nouvel immeuble étaient transparents, la distance de 9,35 mètres prévue entre les immeubles serait inférieure aux 10 mètres stipulés pour cette hypothèse par le PLQ et le projet ne serait pas conforme au PLQ. A contrario, si les jours du nouvel immeuble étaient translucides, la distance de 9,35 mètres serait supérieure à celle de 8 mètres prévue par le PLQ en pareil cas et le projet serait conforme au PLQ.</w:t>
      </w:r>
    </w:p>
    <w:p>
      <w:r>
        <w:t>Il ressort des plans visés ne varietur que les jours en question donneraient sur des dégagements et non sur des pièces habitables. Il s’ensuit qu’un traitement des vitres en verre translucide serait parfaitement possible.</w:t>
      </w:r>
    </w:p>
    <w:p>
      <w:r>
        <w:t>En conséquence, le tribunal de céans admet partiellement le grief soulevé par les recourants. L’autorisation litigieuse devra mentionner expressément que les jours de la façade pignon donnant sur la parcelle n° 28'974 seront traités avec du verre translucide. Elle sera amendée dans ce sens. 7.</w:t>
      </w:r>
    </w:p>
    <w:p>
      <w:r>
        <w:t>Enfin, les recourants se prévalent de la violation de l’article 15 LCI.</w:t>
      </w:r>
    </w:p>
    <w:p>
      <w:r>
        <w:t>a. Selon l’article 15 LCI, le département peut interdire ou n'autoriser que sous réserve de modification, toute construction qui, par ces dimensions, sa situation ou son aspect extérieur, nuirait au caractère ou à l'intérêt du quartier, d'une rue ou d'un chemin, d'un site naturel ou de points de vue accessibles au public.</w:t>
      </w:r>
    </w:p>
    <w:p>
      <w:r>
        <w:t>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w:t>
      </w:r>
    </w:p>
    <w:p>
      <w:r>
        <w:t>b.</w:t>
      </w:r>
    </w:p>
    <w:p>
      <w:r>
        <w:t>Selon une jurisprudence bien établie, le tribunal de céans observe une certaine retenue pour éviter de substituer sa propre appréciation à celle des commissions de préavis, pour autant que l'autorité inférieure suive leur avis (ATA/18/2005 du 18 janvier 2005 ; ATA/156/2003 du 18 novembre 2003 et les références citées).</w:t>
      </w:r>
    </w:p>
    <w:p>
      <w:r>
        <w:t>Lorsque la commission s'écarte des préavis, le Tribunal administratif peut revoir librement l'interprétation des notions juridiques indéterminées, mais contrôle sous le seul angle de l'excès et de l'abus de pouvoir l'exercice de la liberté d'appré- ciation de l'administration, en mettant l'accent sur le principe de la proportionnalité</w:t>
      </w:r>
    </w:p>
    <w:p>
      <w:r>
        <w:t>- 12/13 - A/29/2005 en cas de refus malgré un préavis favorable, et sur le respect de l'intérêt public en cas d'octroi de l'autorisation malgré un préavis défavorable (ATA/18/2005 du 18 janvier 2005).</w:t>
      </w:r>
    </w:p>
    <w:p>
      <w:r>
        <w:t>Le tribunal de céans relève que tous les préavis recueillis, et notamment ceux de la commune et de la commission d’architecture, étaient favorables. Tant le DAEL que la commission ne se sont pas écartés de ces préavis. En conséquence, le Tribunal administratif n’a pas non plus de motif de s’en écarter. Ce grief doit également être rejeté. 8.</w:t>
      </w:r>
    </w:p>
    <w:p>
      <w:r>
        <w:t>Le recours sera partiellement admis. L’autorisation de construire sera confirmée à la condition expresse que les jours de la façade pignon soient traités avec du verre translucide. Dans la mesure où les conclusions des recourants visant à l’annulation de la décision de la commission cantonale de recours en matière de constructions sont rejetées, un émolument de CHF 1'500.- sera mis à leur charge (art. 87 LPA). Une indemnité de procédure de CHF 1'000.- sera allouée à l’intimée, à la charge des recourants, pris conjointement et solidairement.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