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ATA/437/2014 vom 17. Juni 2014</w:t>
      </w:r>
    </w:p>
    <w:p>
      <w:r>
        <w:t>GE Cour de justice, 2014-06-17, FR</w:t>
      </w:r>
    </w:p>
    <w:p>
      <w:r>
        <w:rPr>
          <w:b/>
        </w:rPr>
        <w:t xml:space="preserve">Quelle: </w:t>
      </w:r>
      <w:r>
        <w:t>https://mcp.opencaselaw.ch/entscheid/ge_gerichte_ATA_437_2014</w:t>
      </w:r>
    </w:p>
    <w:p>
      <w:r>
        <w:t>FR: GE_GERICHTE ATA/437/2014 du 17 juin 2014</w:t>
      </w:r>
    </w:p>
    <w:p>
      <w:r>
        <w:t>IT: GE_GERICHTE ATA/437/2014 del 17 giugno 2014</w:t>
      </w:r>
    </w:p>
    <w:p>
      <w:pPr>
        <w:pStyle w:val="Heading2"/>
      </w:pPr>
      <w:r>
        <w:t>Regeste</w:t>
      </w:r>
    </w:p>
    <w:p>
      <w:r>
        <w:t>Résumé: La réunion de deux appartements en location n'est pas possible. L'intérêt public au maintien de logements répondant aux besoins prépondérants de la population l'emporte sur l'intérêt privé du locataire et/ou du propriétaire.</w:t>
      </w:r>
    </w:p>
    <w:p>
      <w:pPr>
        <w:pStyle w:val="Heading2"/>
      </w:pPr>
      <w:r>
        <w:t>Erwägungen</w:t>
      </w:r>
    </w:p>
    <w:p>
      <w:r>
        <w:rPr>
          <w:b/>
        </w:rPr>
        <w:t>E. 12</w:t>
      </w:r>
    </w:p>
    <w:p>
      <w:r>
        <w:t>septembre 1985 - LPA - E 5 10).</w:t>
      </w:r>
    </w:p>
    <w:p>
      <w:r>
        <w:t>- 7/12 - A/1938/2013 2)</w:t>
      </w:r>
    </w:p>
    <w:p>
      <w:r>
        <w:t>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LDTR), et comportant des locaux qui, par leur aménagement et leur distribution, sont affectés à l'habitation (art. 2 al. 1 let. b LDTR).</w:t>
      </w:r>
    </w:p>
    <w:p>
      <w:r>
        <w:t>Cette loi est dès lors applicable à l'immeuble dans lequel est situé l'appartement pour lequel l'autorisation de construire a été refusée. 3)</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de logements à usage locatif (Arrêt du Tribunal fédéral 1P.406/2005 du 9 janvier 2006 consid. 3.3 ; ATA/695/2012 du 16 octobre 2012 consid. 6). 4) a. Selon l'art. 9 al. 1 LDTR, une autorisation est nécessaire pour toute transformation ou rénovation au sens de l’art. 3 al. 1 LDTR, soit notamment pour tous les travaux ayant pour objet de modifier l’architecture, le volume, l’implantation, la destination, la distribution intérieure de tout ou partie d’une maison d’habitation (art. 3 al. 1 let. a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w:t>
      </w:r>
    </w:p>
    <w:p>
      <w:r>
        <w:t>b. A teneur de l'art. 9 al. 2 LDTR, le département accorde l’autorisation si les logements transformés répondent, quant à leur genre, leur loyer ou leur prix, aux besoins prépondérants de la population. Il appartient au département de procéder à une appréciation globale de ces critères (ATA/632/2005 du 27 septembre 2005).</w:t>
      </w:r>
    </w:p>
    <w:p>
      <w:r>
        <w:t>c. Selon l'al. 1 de l'article unique de l'arrêté déterminant les catégories d’appartements où sévit la pénurie en vue de l’application des art. 25 à 39 LDTR du 20 mars 2013 (ArAppart - L 5 20.03), il y a pénurie au sens de ces dispositions dans toutes les catégories des appartements de une à sept pièces inclusivement. Plus précisément les taux de vacance sont les suivants:</w:t>
      </w:r>
    </w:p>
    <w:p>
      <w:r>
        <w:t>- 1 et 2 pièces : 0,22%</w:t>
      </w:r>
    </w:p>
    <w:p>
      <w:r>
        <w:t>- 8/12 - A/1938/2013</w:t>
      </w:r>
    </w:p>
    <w:p>
      <w:r>
        <w:t>- 2½ et 3 pièces : 0,22%</w:t>
      </w:r>
    </w:p>
    <w:p>
      <w:r>
        <w:t>- 4 pièces : 0,23%</w:t>
      </w:r>
    </w:p>
    <w:p>
      <w:r>
        <w:t>- 5 pièces : 0,28%</w:t>
      </w:r>
    </w:p>
    <w:p>
      <w:r>
        <w:t>- 6 pièces : 0,49%</w:t>
      </w:r>
    </w:p>
    <w:p>
      <w:r>
        <w:t>- 7 pièces : 1,23% 5) a. Le droit fédéral prime le droit cantonal dans les domaines de la compétence de la Confédération et que celle-ci a effectivement réglementés (art. 49 al. 1 de la Constitution fédérale de la Confédération suisse du 18 avril 1999 - Cst. - RS 101). Les règles cantonales qui seraient contraires au droit fédéral, notamment par leur but ou par les moyens qu'elles mettent en œuvre,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w:t>
      </w:r>
    </w:p>
    <w:p>
      <w:r>
        <w:t>b. Si, dans les domaines régis en principe par le droit civil fédéral, les cantons conservent la compétence d'édicter des règles de droit public en vertu de l'art. 6 du Code civil suisse du 10 décembre l907 (CCS - RS 210), c'est à condition que le législateur fédéral n'ait pas entendu régler une matière de façon exhaustive, que les règles cantonales soient motivées par un intérêt public pertinent et qu'elles n'éludent pas le droit civil, ni n'en contredisent le sens ou l'esprit (ATF 130 I 169 consid. 2.1 ; 129 I 330 consid. 3.1, 402 consid. 2, et les arrêts cités). c. En matière de législation sur le logement, il est interdit aux cantons d'intervenir dans les rapports directs entre les parties au contrat de bail, réglés exhaustivement par le droit fédéral (ATF 117 Ia 328 consid. 2b ; 113 Ia 126 consid. 9d ; Arrêt du Tribunal fédéral 1P.20/2005 du 18 mars 2005 consid. 2.2). 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 ; ATA/270/2012 du 8 mai 2012 consid. 7).</w:t>
      </w:r>
    </w:p>
    <w:p>
      <w:r>
        <w:t>d. Selon la jurisprudence, la réglementation mise en place par la LDTR est en soi conforme au droit fédéral et à la garantie de la propriété (Arrêt du Tribunal</w:t>
      </w:r>
    </w:p>
    <w:p>
      <w:r>
        <w:t>- 9/12 - A/1938/2013 fédéral 1C_358/2010 du 18 janvier 2011 consid. 3.3 ; ATF 116 Ia 401 consid. 9 ; ATA/695/2012 précité). Il se peut néanmoins que des décisions prises sur la base de cette loi heurtent le droit fédéral (pour un exemple, cf. Arrêt du Tribunal fédéral 1C_250/2010 du 26 août 2010 consid. 3.3). 6) a. Dans sa jurisprudence rendue au sujet de l'art. 9 LDTR, la chambre de céans a considéré à de nombreuses reprises qu'il convenait de refuser une autorisation de réunion d'appartements du fait que celle-ci soustrayait du marché locatif un ou plusieurs appartements de une à sept pièces (ATA/695/2012 précité ; ATA/270/2012 précité ; ATA/362/2005 du 24 mai 2005, confirmé par Arrêt du Tribunal fédéral 1P.406/2005 du 9 janvier 2006 ; ATA/72/2004 du 20 janvier 2004 ; ATA/789/2003 du 28 octobre 2003 ; ATA/700/2000 du 14 novembre 2000). Le TAPI a jugé que le fait que la réunion se faisait dans l'intérêt exclusif du locataire ne changeait pas la situation (JTAPI/1166/2013 du 29 octobre 2013).</w:t>
      </w:r>
    </w:p>
    <w:p>
      <w:r>
        <w:t>b. Dans d'autres cas anciens, la réunion d'appartements a en revanche été admise : ATA/632/2005 précité, la transformation de trois studios en un seul appartement était admissible, les studios étaient assimilables à des chambres de bonne et ne remplissaient pas strictement les exigences actuelles en matière d'habitabilité ; ATA/966/2004 du 14 décembre 2004, recours admis dans la mesure où il n'y avait pas de soustraction aux besoins prépondérants de la population, et où une remise en état, malgré une violation caractérisée de la législation en matière de constructions et de logement, n'avait plus de sens ; ATA/750/2002 du 3 décembre 2002, dans lequel l'addition de deux pièces provenant d'un local commercial à un appartement de deux pièces revenait à mettre sur le marché locatif, à terme, davantage de surface locative.</w:t>
      </w:r>
    </w:p>
    <w:p>
      <w:r>
        <w:t>c. En principe, des travaux visant à réunir deux appartements ne sont pas autorisables lorsqu'il s'agit d'appartements loués ou précédemment loués par son propriétaire dont le nombre de pièces entre dans une catégorie de logements en pénurie. Peu importe que la réunion soit le fait du propriétaire ou du locataire agissant avec ou sans l'accord du propriétaire (Emmanuelle GAIDE et Valérie DEFAGO GAUDIN, La LDTR : démolition, transformation, changement d'affectation et aliénation. Immeubles de logement et appartements, 2014, p. 219). Les auteurs critiquent exclusivement les situations où le propriétaire occupe son logement (Emmanuelle GAIDE et Valérie DEFAGO GAUDIN, op. cit, p. 220). 7)</w:t>
      </w:r>
    </w:p>
    <w:p>
      <w:r>
        <w:t>En l'espèce, la réunion de deux appartements a pour conséquence de soustraire du marché locatif un appartement (deux sont soustraits et un est créé), répondant aux besoins prépondérants de la population, en période de pénurie de logements. La LDTR cherche précisément à éviter ce cas de figure. Même si la situation du locataire n'est pas enviable, la réunion des deux appartements s'est faite pour sa convenance personnelle, intérêt privé qui doit s'écarter devant l'intérêt public de conserver des logements qui, par leur qualité et leur quantité, répondent aux besoins de la population. L'intérêt du locataire ne se confond pas</w:t>
      </w:r>
    </w:p>
    <w:p>
      <w:r>
        <w:t>- 10/12 - A/1938/2013 avec l'intérêt commun de la population, car il s'oppose à la mise sur le marché d'un appartement supplémentaire. Comme a pu le souligner la jurisprudence (ATA/695/2012 précité), le fait qu'il existe un engagement à remettre les appartements dans leur état initial au départ du locataire ne change pas la situation. En outre, le fait que les travaux aient été faits dans l'intérêt du locataire ne modifie pas l'application de l'art. 9 LDTR. En effet, si dans le cas de l'occupation du logement par le propriétaire, situation dans laquelle le logement est de facto hors du marché locatif, la réunion d'appartements est contraire au but de la loi, dans le cas de l'occupation du logement par un locataire, la réunion contrevient également à la loi, le logement étant directement soustrait au marché locatif.</w:t>
      </w:r>
    </w:p>
    <w:p>
      <w:r>
        <w:t>Dans ces conditions, le refus d'autorisation de construire est conforme à la loi. 8) a.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Arrêt du Tribunal fédéral 1C_99/2011 du 24 juin 2011 et les références citées ; ATA/34/2014 du 21 janvier 2014 ; ATA/488/2011 du 27 juillet 2011 ; ATA/537/2010 du 4 août 2010).</w:t>
      </w:r>
    </w:p>
    <w:p>
      <w:r>
        <w:t>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w:t>
      </w:r>
    </w:p>
    <w:p>
      <w:r>
        <w:t>b. En l'espèce, l'intérêt public à prendre en compte est principalement celui lié au respect de la loi, qui a pour but la défense d'un intérêt public important, particulièrement au vu de la pénurie aiguë de logements. L'intérêt privé de la recourante, celui de son locataire dans ce cas, de pouvoir conserver son logement dans l'état actuel relève de la convenance personnelle. Le simple fait de ne pas pouvoir revenir sur les travaux effectués ne suffit pas à constituer un intérêt privé prépondérant. Cela reviendrait à récompenser le fait de mettre l'autorité devant le fait accompli. Ce dernier point est particulièrement pertinent dans le cas d'espèce, la recourante et le locataire étant actifs dans l'immobilier et l'architecture et ne</w:t>
      </w:r>
    </w:p>
    <w:p>
      <w:r>
        <w:t>- 11/12 - A/1938/2013 pouvaient donc pas ignorer la nécessité de demander une autorisation de construire.</w:t>
      </w:r>
    </w:p>
    <w:p>
      <w:r>
        <w:t>c. En ces circonstances, la mesure envisagée est apte à atteindre le but visé et il n'apparaît pas d'autres mesures moins incisives qui respecteraient mieux les intérêts privés de la recourante et permettraient néanmoins de retrouver une situation conforme au droit en vigueur. 9) Au vu de ce qui précède, le recours sera rejeté. 10) Un émolument de CHF 1'500.- sera mis à la charge de la recourante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