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ATA/436/2011 vom 6. Juli 2011</w:t>
      </w:r>
    </w:p>
    <w:p>
      <w:r>
        <w:t>GE Cour de justice, 2011-07-06, FR</w:t>
      </w:r>
    </w:p>
    <w:p>
      <w:r>
        <w:rPr>
          <w:b/>
        </w:rPr>
        <w:t xml:space="preserve">Quelle: </w:t>
      </w:r>
      <w:r>
        <w:t>https://mcp.opencaselaw.ch/entscheid/ge_gerichte_ATA_436_2011</w:t>
      </w:r>
    </w:p>
    <w:p>
      <w:r>
        <w:t>FR: GE_GERICHTE ATA/436/2011 du 6 juillet 2011</w:t>
      </w:r>
    </w:p>
    <w:p>
      <w:r>
        <w:t>IT: GE_GERICHTE ATA/436/2011 del 6 luglio 2011</w:t>
      </w:r>
    </w:p>
    <w:p>
      <w:pPr>
        <w:pStyle w:val="Heading2"/>
      </w:pPr>
      <w:r>
        <w:t>Erwägungen</w:t>
      </w:r>
    </w:p>
    <w:p>
      <w:r>
        <w:rPr>
          <w:b/>
        </w:rPr>
        <w:t>E. 1</w:t>
      </w:r>
    </w:p>
    <w:p>
      <w:r>
        <w:t>La question de la recevabilité du recours a été admise, prima facie, dans la décision présidentielle prononcée le 8 avril 2011(ATA/231/2011).</w:t>
      </w:r>
    </w:p>
    <w:p>
      <w:r>
        <w:rPr>
          <w:b/>
        </w:rPr>
        <w:t>E. 2</w:t>
      </w:r>
    </w:p>
    <w:p>
      <w:r>
        <w:t>Ainsi que cela a été indiqué dans cette décision, la nature même du retrait dit de sécurité, qui remet en cause l'aptitude d'une personne à conduire un véhicule automobile, interdit la restitution de l'effet suspensif.</w:t>
      </w:r>
    </w:p>
    <w:p>
      <w:r>
        <w:t>De même, l'octroi de mesures provisionnelles, qui seraient équivalentes à la délivrance d'un permis de conduire et dès lors à l'admission du recours avant le jugement sur le fond, n'est pas envisageable.</w:t>
      </w:r>
    </w:p>
    <w:p>
      <w:r>
        <w:t>- 4/4 - A/4374/2010</w:t>
      </w:r>
    </w:p>
    <w:p>
      <w:r>
        <w:t>Même si les efforts du recourant sont évidents et que le certificat médical rédigé par son médecin traitant indique qu'il suit régulièrement son traitement et que le résultat des analyses sanguines est normal, ce document est insuffisant pour permettre à la chambre de céans d’affirmer que l'intéressé est apte à la conduite sans risque pour la sécurité publique.</w:t>
      </w:r>
    </w:p>
    <w:p>
      <w:r>
        <w:rPr>
          <w:b/>
        </w:rPr>
        <w:t>E. 3</w:t>
      </w:r>
    </w:p>
    <w:p>
      <w:r>
        <w:t>Au vu de ce qui précède, la requête de mesures provisionnelles sera rejetée. Le sort des frais de la procédure sera tranché dans l'arrêt à rendre au fond.</w:t>
      </w:r>
    </w:p>
    <w:p>
      <w:r>
        <w:t>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Lironi, avocat du recourant, à l'office cantonal des automobiles et de la navigation, au Tribunal administratif de première instance ainsi qu'à l'office fédéral des routes à Berne.</w:t>
      </w:r>
    </w:p>
    <w:p>
      <w:r>
        <w:t>La présidente siégeante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