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ATA/435/2011 vom 6. Juli 2011</w:t>
      </w:r>
    </w:p>
    <w:p>
      <w:r>
        <w:t>GE Cour de justice, 2011-07-06, FR</w:t>
      </w:r>
    </w:p>
    <w:p>
      <w:r>
        <w:rPr>
          <w:b/>
        </w:rPr>
        <w:t xml:space="preserve">Quelle: </w:t>
      </w:r>
      <w:r>
        <w:t>https://mcp.opencaselaw.ch/entscheid/ge_gerichte_ATA_435_2011</w:t>
      </w:r>
    </w:p>
    <w:p>
      <w:r>
        <w:t>FR: GE_GERICHTE ATA/435/2011 du 6 juillet 2011</w:t>
      </w:r>
    </w:p>
    <w:p>
      <w:r>
        <w:t>IT: GE_GERICHTE ATA/435/2011 del 6 luglio 2011</w:t>
      </w:r>
    </w:p>
    <w:p>
      <w:pPr>
        <w:pStyle w:val="Heading2"/>
      </w:pPr>
      <w:r>
        <w:t>Erwägungen</w:t>
      </w:r>
    </w:p>
    <w:p>
      <w:r>
        <w:rPr>
          <w:b/>
        </w:rPr>
        <w:t>E. 1</w:t>
      </w:r>
    </w:p>
    <w:p>
      <w:r>
        <w:t>Interjeté le 24 juin 2011 contre le jugement du TAPI, prononcé et notifié le 14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27 juin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et la prolongation sont ordonnées par l’autorité du canton qui exécute le renvoi ou l’expulsion (art. 78 al. 3 LEtr). Ce sont les cantons qui édictent les dispositions d’exécution de la loi (art. 124 al. 2 LEtr).</w:t>
      </w:r>
    </w:p>
    <w:p>
      <w:r>
        <w:t>A Genève, il résulte de la LaLEtr, en matière de détention pour insoumission que :</w:t>
      </w:r>
    </w:p>
    <w:p>
      <w:r>
        <w:t>- l’officier de police est compétent pour ordonner la mise en détention (art.</w:t>
      </w:r>
    </w:p>
    <w:p>
      <w:r>
        <w:rPr>
          <w:b/>
        </w:rPr>
        <w:t>E. 7</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- 7/9 - A/1805/2011</w:t>
      </w:r>
    </w:p>
    <w:p>
      <w:r>
        <w:t>En l'espèce, les autorités chargées du renvoi étaient en mesure d'entreprendre des démarches en vue du renvoi du recourant depuis l'entrée en force du jugement de la Cour correctionnelle du 15 septembre 2010, sachant à ce moment-là pendant combien de temps il serait détenu. A rigueur de dossier, rien n'a été fait, alors qu'elles disposaient des mêmes éléments utiles qu'au moment de la mise en détention administrative. Depuis lors, elles ont fini par se rallier à l'avis du consulat compétent pour admettre que le passeport, maintenant échu, de M. O______ était authentique et prévoir de prendre rendez-vous rapidement pour en faire établir un nouveau. Cela étant, l'opposition affirmée du recourant à l'exécution de son renvoi, connue seulement depuis son audition devant l'officier de police, - réitérée devant les juridictions de contrôle de la détention, au point de prétendre tirer un argument de mise en liberté de son intention de faire obstacle à toutes modalités de refoulement -, fait que l'on doit retenir que la détention est la seule mesure permettant d'assurer l'exécution du renvoi. Ainsi, le fait de ne pas avoir disposé au moment de sa libération conditionnelle des documents permettant l'exécution ordinaire du renvoi n'était pas de nature à différer celui-ci. En revanche, on retiendra que les démarches sont désormais en bonne voie. Elles devront être poursuivies sans désemparer, le délai de trois mois devant à cet égard permettre de parer à toute éventuelle opposition du recourant à un renvoi ordinaire par vol de ligne et de mettre en place des modalités plus contraignantes auxquelles il appartiendra au seul recourant, en se conformant à son obligation de collaborer, de faire en sorte qu'elles n'aient pas à être organisées.</w:t>
      </w:r>
    </w:p>
    <w:p>
      <w:r>
        <w:t>Au vu de l'ensemble des circonstances, la mesure apparaît ainsi non seulement nécessaire dans son principe mais encore adéquate dans sa durée.</w:t>
      </w:r>
    </w:p>
    <w:p>
      <w:r>
        <w:rPr>
          <w:b/>
        </w:rPr>
        <w:t>E. 8</w:t>
      </w:r>
    </w:p>
    <w:p>
      <w:r>
        <w:t>Au vu de ce qui précède, le recours sera rejeté.</w:t>
      </w:r>
    </w:p>
    <w:p>
      <w:r>
        <w:t>Vu la nature et l’issue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(art. 87 LPA).</w:t>
      </w:r>
    </w:p>
    <w:p>
      <w:r>
        <w:t>- 8/9 - A/1805/2011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