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ATA/435/2005 vom 21. Juni 2005</w:t>
      </w:r>
    </w:p>
    <w:p>
      <w:r>
        <w:t>GE Cour de justice, 2005-06-21, FR</w:t>
      </w:r>
    </w:p>
    <w:p>
      <w:r>
        <w:rPr>
          <w:b/>
        </w:rPr>
        <w:t xml:space="preserve">Quelle: </w:t>
      </w:r>
      <w:r>
        <w:t>https://mcp.opencaselaw.ch/entscheid/ge_gerichte_ATA_435_2005</w:t>
      </w:r>
    </w:p>
    <w:p>
      <w:r>
        <w:t>FR: GE_GERICHTE ATA/435/2005 du 21 juin 2005</w:t>
      </w:r>
    </w:p>
    <w:p>
      <w:r>
        <w:t>IT: GE_GERICHTE ATA/435/2005 del 21 giugno 2005</w:t>
      </w:r>
    </w:p>
    <w:p>
      <w:pPr>
        <w:pStyle w:val="Heading2"/>
      </w:pPr>
      <w:r>
        <w:t>Erwägungen</w:t>
      </w:r>
    </w:p>
    <w:p>
      <w:r>
        <w:rPr>
          <w:b/>
        </w:rPr>
        <w:t>E. 1</w:t>
      </w:r>
    </w:p>
    <w:p>
      <w:r>
        <w:t>Interjeté en temps utile devant la juridiction compétente, le recours est recevable (art. 56A de la loi sur l'organisation judiciaire du 22 novembre 1941 - LOJ - E 2 05; art. 53 al. 1 de la loi sur la procédure fiscale du 4 octobre 2001 – LPFisc – D 3 17 ; art. 57 à 65 de la loi sur la procédure administrative du 12 septembre 1985 - LPA - E 5 10, applicables par renvoi de l’article 53 al. 4 LPFisc).</w:t>
      </w:r>
    </w:p>
    <w:p>
      <w:r>
        <w:rPr>
          <w:b/>
        </w:rPr>
        <w:t>E. 2</w:t>
      </w:r>
    </w:p>
    <w:p>
      <w:r>
        <w:t>Le 1er janvier 2002, est entrée en vigueur la LPFisc qui règle à ses articles 53 et suivants la procédure par devant le Tribunal administratif. L’article 86 LPFisc stipule que les règles de procédure s’appliquent dès l’entrée en vigueur de la présente loi aux causes encore pendantes. Ces nouvelles dispositions sont applicables au cas d’espèce. L’article 2 alinéa 2 LPFisc prévoit que la LPA est applicable pour autant que la LPFisc n’y déroge pas.</w:t>
      </w:r>
    </w:p>
    <w:p>
      <w:r>
        <w:rPr>
          <w:b/>
        </w:rPr>
        <w:t>E. 3</w:t>
      </w:r>
    </w:p>
    <w:p>
      <w:r>
        <w:t>a. En vertu de l'article 151 alinéa 1 LIFD,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Ainsi, la collectivité publique doit avoir subi une perte fiscale (H. Casanova, Le rappel d'impôt, RDAF 1999, vol. II, p.10).</w:t>
      </w:r>
    </w:p>
    <w:p>
      <w:r>
        <w:t>b. Sont considérés comme inconnus les faits ou moyens de preuve qui ne ressortaient pas du dossier dont disposait l'autorité fiscale. Est déterminant l'état du dossier au moment de la taxation. L'autorité de taxation est en principe en droit de se fonder sur les déclarations de fait du contribuable, sans les vérifier, et d'en présumer l'exactitude. L'autorité doit cependant assumer une éventuelle</w:t>
      </w:r>
    </w:p>
    <w:p>
      <w:r>
        <w:t>- 5/8 - A/1563/2004 négligence grave dans le traitement du dossier. Lorsqu'elle aurait dû se rendre compte d'un élément de fait essentiel à la lecture des indications contenues dans la déclaration ou des pièces déposées par le contribuable ou un tiers, celui-ci n'est plus censé inconnu (ibid., p.11; W. Ryser/B. Rolli, Précis de droit fiscal suisse, Berne 2002, p. 485). A titre d'exemple, un rappel d'impôt est justifié par la découverte du caractère privé de dépenses comptabilisées comme charges commerciales (H. Casanova, op. cit., p. 12; W. Ryser/B. Rolli, op. cit., p. 286).</w:t>
      </w:r>
    </w:p>
    <w:p>
      <w:r>
        <w:t>c. L'impôt sur le bénéfice des personnes morales a pour objet le bénéfice net (art. 57 LIFD). Le bénéfice net imposable comprend tous les prélèvements opérés sur le résultat commercial avant le calcul du solde du compte de résultat et qui ne servent pas à couvrir des dépenses justifiées par l'usage commercial (art. 58 al. 1 let. b LIFD).</w:t>
      </w:r>
    </w:p>
    <w:p>
      <w:r>
        <w:t>Parmi les charges qui sont justifiées pour l’usage commercial et, à ce titre, immédiatement déductibles, figurent les pertes sur stock.</w:t>
      </w:r>
    </w:p>
    <w:p>
      <w:r>
        <w:rPr>
          <w:b/>
        </w:rPr>
        <w:t>E. 4</w:t>
      </w:r>
    </w:p>
    <w:p>
      <w:r>
        <w:t>L'administration recherche en général d'office les faits déterminants. Mais on reconnaît que son devoir d'investigation n'est pas sans limite. L'autorité peut s'en tenir aux règles sur la répartition du fardeau de la preuve. En droit fiscal, il appartient à l'autorité fiscale d'établir les faits dont résulte l'obligation de payer une contribution, alors qu'il appartient au contribuable d'établir les faits qui ont pour effet de supprimer ou de réduire cette obligation (notamment ATA/227/2001 du 3 avril 2001).</w:t>
      </w:r>
    </w:p>
    <w:p>
      <w:r>
        <w:t>Force est de constater que le recourant a échoué dans l’administration de la preuve de la réalité des pertes alléguées puisqu’il n’a été en mesure de produire aucune pièce justificative à cet égard, ce qu’il admet lui-même. Ni les fiches de ramassage de matériel en 2001 et 2002 – soit nettement postérieures à la période fiscale concernée – ni l’attestation de l’ancien comptable qui porte sur la manière de présenter les comptes, ne permettent de pallier cette carence. La reprise apparaît ainsi justifiée.</w:t>
      </w:r>
    </w:p>
    <w:p>
      <w:r>
        <w:rPr>
          <w:b/>
        </w:rPr>
        <w:t>E. 5</w:t>
      </w:r>
    </w:p>
    <w:p>
      <w:r>
        <w:t>Le contribuable qui, intentionnellement ou par négligence, fait en sorte qu’une taxation ne soit pas effectuée alors qu’elle devrait l’être, ou qu’une taxation entrée en force soit incomplète est puni d’une amende (article 175 alinéa 1 paragraphe 1 LIFD). En règle générale, l’amende est fixée au montant de l’impôt soustrait. Si la faute est légère, l’amende peut être réduite jusqu’au tiers de ce montant ; si la faute est grave , elle peut au plus être triplée (article 175 alinéa 2 LIFD).</w:t>
      </w:r>
    </w:p>
    <w:p>
      <w:r>
        <w:t>a.</w:t>
      </w:r>
    </w:p>
    <w:p>
      <w:r>
        <w:t>Le contribuable qui, intentionnellement ou par négligence, fait en sorte qu’une taxation ne soit pas effectuée alors qu’elle devrait l’être, ou qu’une taxation entrée en force soit incomplète est puni d’une amende (article 175 alinéa 1 paragraphe 1 LIFD). En règle générale, l’amende est fixée au montant de</w:t>
      </w:r>
    </w:p>
    <w:p>
      <w:r>
        <w:t>- 6/8 - A/1563/2004 l’impôt soustrait. Si la faute est légère, l’amende peut être réduite jusqu’au tiers de ce montant ; si la faute est grave , elle peut au plus être triplée (article 175 alinéa 2 LIFD).</w:t>
      </w:r>
    </w:p>
    <w:p>
      <w:r>
        <w:t>b. En matière de soustraction par négligence, l'auteur de la soustraction a agi soit sans se rendre compte (négligence inconsciente), soit sans tenir compte des conséquences de ses actes ou omissions (négligence consciente). Pour que l'imprévoyance soit coupable, il faut en premier lieu, objectivement, que l'auteur n'ait pas usé des précautions qui étaient commandées par les circonstances. Il faut en outre que, subjectivement, l'auteur de l'acte incriminé ait omis d'user des précautions commandées par sa situation personnelle. Pour apprécier celle-ci, l'administration, le cas échéant, le juge devront donc tenir compte non seulement des circonstances objectives du cas d'espèce, mais aussi de tout ce qui, in concreto, constitue la situation personnelle du contribuable : par exemple l'intelligence et les connaissances de celui-ci, sa formation personnelle, sa situation économique et sociale et naturellement sa profession (J.-M. RIVIER, Droit fiscal suisse, 2e éd. 1998, p. 271ss).</w:t>
      </w:r>
    </w:p>
    <w:p>
      <w:r>
        <w:t>c. Les amendes administratives sont de nature pénale, car aucun critère ne permet de les distinguer clairement des amendes ordinaires pour lesquelles la compétence administrative de première instance peut au demeurant exister. C'est dire que la quotité de la peine administrative doit être fixée en tenant compte des principes généraux régissant le droit pénal (ATA/632/2001 du 9 octobre 2001 et références citées). En vertu de l'article 1 alinéa 2 de la loi pénale genevoise du 20 septembre 1941 (LPG - E 4 05), il y a lieu de faire application des dispositions générales contenues dans le Code pénal suisse du 21 décembre 1937 (CP - RS 311.O), sous réserve des exceptions prévues par le législateur cantonal à l'article 24 LPG.</w:t>
      </w:r>
    </w:p>
    <w:p>
      <w:r>
        <w:t>d. Selon des principes qui n'ont pas été remis en cause, l'administration doit faire preuve de sévérité afin d'assurer le respect de la loi (ATA/736/2003 du 7 octobre 2003 ; A. GRISEL, Traité de droit administratif, vol. 2, 1984, p. 646-648; ATA G. du 20 septembre 1994) et jouit d'un large pouvoir d'appréciation pour infliger une amende (ATA/736/2003 du 7 octobre 2003 précité; ATA C. et H. du 27 avril 1999; ATA G. du 20 septembre 1994; ATA C. du 8 septembre 1992). La juridiction de céans ne la censure qu'en cas d'excès (ATA/518/2004 du 8 juin 2004; ATA U. du 18 février 1997). Enfin l'amende doit respecter le principe de la proportionnalité (ATA/518/2004 du 8 juin 2004; ATA P. du 5 août 1997).</w:t>
      </w:r>
    </w:p>
    <w:p>
      <w:r>
        <w:t>e. L'autorité qui prononce une mesure administrative ayant le caractère d'une sanction doit faire application des règles contenues à l'article 63 CP. En ce sens, le juge fixera la peine d'après la culpabilité du délinquant, en tenant compte des mobiles, des antécédents et de la situation personnelle de ce dernier. Parmi ces circonstances intervient le comportement après la commission de l'infraction et au</w:t>
      </w:r>
    </w:p>
    <w:p>
      <w:r>
        <w:t>- 7/8 - A/1563/2004 cours de la procédure (C. FAVRE, M. PELLET; P. STOUDMANN, Code pénal annoté, 2e édition, Lausanne, 2004 ad. art. 63 ch. 1.8 p. 204).</w:t>
      </w:r>
    </w:p>
    <w:p>
      <w:r>
        <w:t>Subjectivement l’AFC a retenu dans sa décision initiale, confirmée par la commission, que le contribuable avait agi par négligence. Tel est également l’avis du Tribunal administratif, au vu des éléments du dossier. Cette négligence est grave dès lors qu’elle porte sur des obligations essentielles en matière commerciale et fiscale, comme celle de disposer de pièces justificatives comptables, ce que le recourant ne conteste pas, qualifiant lui-même sa gestion de calamiteuse.</w:t>
      </w:r>
    </w:p>
    <w:p>
      <w:r>
        <w:t>En fixant la quotité de l’amende à une fois le montant de l’impôt éludé, l’AFC a, au vu de l’ensemble des circonstances, ainsi fait une application proportionnée de l’article 175 alinéas 1 et 2 LIFD.</w:t>
      </w:r>
    </w:p>
    <w:p>
      <w:r>
        <w:rPr>
          <w:b/>
        </w:rPr>
        <w:t>E. 6</w:t>
      </w:r>
    </w:p>
    <w:p>
      <w:r>
        <w:t>Le recours sera ainsi rejeté.</w:t>
      </w:r>
    </w:p>
    <w:p>
      <w:r>
        <w:t>Vu l’issue du litige, un émolument de CHF 800.-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