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ATA/434/2011 vom 6. Juli 2011</w:t>
      </w:r>
    </w:p>
    <w:p>
      <w:r>
        <w:t>GE Cour de justice, 2011-07-06, FR</w:t>
      </w:r>
    </w:p>
    <w:p>
      <w:r>
        <w:rPr>
          <w:b/>
        </w:rPr>
        <w:t xml:space="preserve">Quelle: </w:t>
      </w:r>
      <w:r>
        <w:t>https://mcp.opencaselaw.ch/entscheid/ge_gerichte_ATA_434_2011</w:t>
      </w:r>
    </w:p>
    <w:p>
      <w:r>
        <w:t>FR: GE_GERICHTE ATA/434/2011 du 6 juillet 2011</w:t>
      </w:r>
    </w:p>
    <w:p>
      <w:r>
        <w:t>IT: GE_GERICHTE ATA/434/2011 del 6 luglio 2011</w:t>
      </w:r>
    </w:p>
    <w:p>
      <w:pPr>
        <w:pStyle w:val="Heading2"/>
      </w:pPr>
      <w:r>
        <w:t>Volltext</w:t>
      </w:r>
    </w:p>
    <w:p>
      <w:r>
        <w:t>RÉPUBLIQUE ET</w:t>
      </w:r>
    </w:p>
    <w:p>
      <w:r>
        <w:t>CANTON DE GENÈVE POUVOIR JUDICIAIRE A/669/2011-LCI ATA/434/2011 COUR DE JUSTICE Chambre administrative Décision du 6 juillet 2011</w:t>
      </w:r>
    </w:p>
    <w:p>
      <w:r>
        <w:t>dans la cause</w:t>
      </w:r>
    </w:p>
    <w:p>
      <w:r>
        <w:t>ASSOCIATION SEYMAZ-RIVIERE représentée par Mme A. Baudet</w:t>
      </w:r>
    </w:p>
    <w:p>
      <w:r>
        <w:t>contre DEPARTEMENT DES CONSTRUCTIONS ET DES TECHNOLOGIES DE L'INFORMATION Et ASSOCIATION DES HABITANTS DES 3 CHENE ET CHRISTIAN WURTH représentés par Me Nils De Dardel, avocat Et</w:t>
      </w:r>
    </w:p>
    <w:p>
      <w:r>
        <w:t>A/669/2011 - 2 - EUROMAITRISE SA ET CB IMMOBILIER SA représentés par Me François Bellanger, avocat</w:t>
      </w:r>
    </w:p>
    <w:p>
      <w:r>
        <w:t>__________ Recours contre le jugement du 3 juin 2011 du Tribunal administratif de première instance (DTAI/30/2011)</w:t>
      </w:r>
    </w:p>
    <w:p>
      <w:r>
        <w:t>- 3/4 - A/669/2011</w:t>
      </w:r>
    </w:p>
    <w:p>
      <w:r>
        <w:t>Vu le jugement rendu par le Tribunal administratif de première instance le 3 juin 2011 déclarant irrecevable la demande d'appel en cause de l'Association Seymaz-Rivière du 18 mars 2011 et mettant à la charge de cette dernière un émolument de CHF 300.- ;</w:t>
      </w:r>
    </w:p>
    <w:p>
      <w:r>
        <w:t>vu le courrier adressé à la chambre administrative de la Cour de justice par cette association le 1er juillet 2011 dont il ressort qu'elle n'avait jamais désiré faire recours et qu'il ne lui était pas possible financièrement de couvrir les frais de procédure mis à sa charge ;</w:t>
      </w:r>
    </w:p>
    <w:p>
      <w:r>
        <w:t>attendu que, selon l'article 87 alinéa 4 de la loi sur la procédure administrative du 12 septembre 1985, les frais de procédure arrêtés par une juridiction administrative peuvent faire l'objet d'une réclamation dans un délai de 30 jours dès la notification de la décision auprès de l'autorité qui a statué (art. 50 à 52 LPA) ;</w:t>
      </w:r>
    </w:p>
    <w:p>
      <w:r>
        <w:t>qu'ainsi, la chambre administrative de la Cour de justice n'est pas compétente pour connaître de cette réclamation sur émolument ;</w:t>
      </w:r>
    </w:p>
    <w:p>
      <w:r>
        <w:t>que le courrier de l'association sera transmis au Tribunal administratif de première instance ;</w:t>
      </w:r>
    </w:p>
    <w:p>
      <w:r>
        <w:t>que, conformément à sa pratique, la chambre administrative statuera sans frais. PAR CES MOTIFS LA CHAMBRE ADMINISTRATIVE déclare irrecevable le recours interjeté par le 2 juillet 2011 par l'Association Seymaz- Rivière contre le jugement du Tribunal administratif de première instance du 3 juin 2011 ; transmet le dossier au Tribunal administratif de première instance pour raison de compétence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w:t>
      </w:r>
    </w:p>
    <w:p>
      <w:r>
        <w:t>- 4/4 - A/669/2011 communique la présente décision, en copie, à Mme Baudet, représentant l'Association Seymaz-Rivière, à Me De Dardel, avocat de l'Association des habitants des 3 Chêne, à Me Bellanger, avocat de l'Euromaîtrise SA et CB Immobillier SA, au Tribunal administratif de première instance, ainsi qu'au département des constructions et des technologies de l'information.</w:t>
      </w:r>
    </w:p>
    <w:p>
      <w:r>
        <w:t>Au nom de la chambre administrative : la greffière :</w:t>
      </w:r>
    </w:p>
    <w:p>
      <w:r>
        <w:t>Marisa ORANCI</w:t>
      </w:r>
    </w:p>
    <w:p>
      <w:r>
        <w:t>le juge délégué :</w:t>
      </w:r>
    </w:p>
    <w:p>
      <w:r>
        <w:t>Philippe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