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ATA/434/2009 vom 8. September 2009</w:t>
      </w:r>
    </w:p>
    <w:p>
      <w:r>
        <w:t>GE Cour de justice, 2009-09-08, FR</w:t>
      </w:r>
    </w:p>
    <w:p>
      <w:r>
        <w:rPr>
          <w:b/>
        </w:rPr>
        <w:t xml:space="preserve">Quelle: </w:t>
      </w:r>
      <w:r>
        <w:t>https://mcp.opencaselaw.ch/entscheid/ge_gerichte_ATA_434_2009</w:t>
      </w:r>
    </w:p>
    <w:p>
      <w:r>
        <w:t>FR: GE_GERICHTE ATA/434/2009 du 8 septembre 2009</w:t>
      </w:r>
    </w:p>
    <w:p>
      <w:r>
        <w:t>IT: GE_GERICHTE ATA/434/2009 del 8 settembre 2009</w:t>
      </w:r>
    </w:p>
    <w:p>
      <w:pPr>
        <w:pStyle w:val="Heading2"/>
      </w:pPr>
      <w:r>
        <w:t>Regeste</w:t>
      </w:r>
    </w:p>
    <w:p>
      <w:r>
        <w:t>Résumé: licenciement d'un cadre supérieur (fonctionnaire) suite à la suppression de son poste. Portée de l'obligation de reclassement de l'Etat. Cette obligation ne se traduit pas de la même manière selon que la suppression de poste touche un cadre supérieur ou un collaborateur à une fonction inférieure ; en particulier, la règle de priorité figurant dans la directive du Conseil d'Etat en cas de suppression de poste (appelé dispositif) et, corrélativement, celle permettant à l'office du personnel de l'Etat d'imposer la réaffectation du collaborateur à un département disposant d'un poste vacant correspondant à ses compétence, n'est pas applicable aux fonctions de cadres supérieurs, car l'intérêt public de l'Etat à pouvoir placer, à un poste clé de son organisation, le meilleur candidat, peut être prépondérant à celui du fonctionnaire dont le poste a été supprimé. L'Etat demeure néanmoins dans l'obligation de faire tout ce que l'on peut raisonnablement attendre de lui pour tenter le reclassement de l'intéressé, en cherchant des solutions adaptées, en soutenant ses candidatures, etc. Pas de violation du principe de proportionnalité en l'espèce.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31 LPAC ; art. 63 al. 1 let. a de la loi sur la procédure administrative du 12 septembre 1985 - LPA - E 5 10).</w:t>
      </w:r>
    </w:p>
    <w:p>
      <w:r>
        <w:rPr>
          <w:b/>
        </w:rPr>
        <w:t>E. 2</w:t>
      </w:r>
    </w:p>
    <w:p>
      <w:r>
        <w:t>A teneur de l'art. 23 al. 1er LPAC, lorsque, pour des motifs de réorganisation ou de restructuration du service, un poste occupé par un membre du personnel régulier est supprimé, le Conseil d'Etat ou le conseil d'administration peut résilier les rapports de service.</w:t>
      </w:r>
    </w:p>
    <w:p>
      <w:r>
        <w:t>En l'espèce, il n'est pas contesté que la loi réformant la LaLP a conduit à la suppression du poste de la recourante pour des motifs relevant de l'organisation de l'administration, ni que Mme S______ était membre du personnel régulier de l'administration cantonale au moment de cette suppression.</w:t>
      </w:r>
    </w:p>
    <w:p>
      <w:r>
        <w:rPr>
          <w:b/>
        </w:rPr>
        <w:t>E. 3</w:t>
      </w:r>
    </w:p>
    <w:p>
      <w:r>
        <w:t>En revanche, la recourante considère que l'Etat n'a pas satisfait à son obligation de la reclasser. En effet, à teneur de l'al. 2 de l'art. 23 LPAC, une résiliation pour suppression de poste ne peut intervenir que "s'il se révèle impossible" de confier au membre du personnel régulier un autre poste correspondant à ses capacités (al. 2).</w:t>
      </w:r>
    </w:p>
    <w:p>
      <w:r>
        <w:t>Cette condition est une expression du principe de la proportionnalité qui impose à l'Etat de s'assurer, avant qu'un licenciement soit prononcé, qu'aucune mesure moins préjudiciable pour l'administré ne peut être prise (art. 36 al. 3 de la Constitution fédérale de la Confédération suisse du 18 avril 1999 - Cst. - RS 101 ; Arrêt du Tribunal fédéral 1C.309/2008 du 28 janvier 2009 consid. 2.2).</w:t>
      </w:r>
    </w:p>
    <w:p>
      <w:r>
        <w:t>On trouve la même règle dans le statut des fonctionnaires de la Ville de Genève (LC 21 151), à son art. 96 al. 1er et - en des termes un peu différents - à l'art. 19 de la loi sur le personnel de la Confédération du 24 mars 2000 (LPers - RS -172.220.1), applicable aux employés fédéraux, qui dispose qu'avant de</w:t>
      </w:r>
    </w:p>
    <w:p>
      <w:r>
        <w:t>- 14/19 - A/4755/2007 résilier le contrat de travail sans qu’il y ait faute de l’employé, l’employeur prend toutes les mesures "qui peuvent être raisonnablement exigées de lui" pour garder l’employé à son service.</w:t>
      </w:r>
    </w:p>
    <w:p>
      <w:r>
        <w:rPr>
          <w:b/>
        </w:rPr>
        <w:t>E. 4</w:t>
      </w:r>
    </w:p>
    <w:p>
      <w:r>
        <w:t>Le respect du principe de la proportionnalité est assuré, selon le Conseil d'Etat, par le respect du dispositif adopté par cette autorité le 28 mars 2007. Auparavant, aucun processus formalisé n'existait, et les cas de suppression de poste étaient traités au cas par cas.</w:t>
      </w:r>
    </w:p>
    <w:p>
      <w:r>
        <w:t>Ce dispositif émis par l’autorité chargée de l’application concrète de la loi constitue une ordonnance administrative, aussi appelée directive. Ces actes administratifs sont destinés à rendre explicite une ligne de conduite. Ils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virevoltante de cas en cas, tout en dotant le juge de l’instrument nécessaire pour vérifier la correcte application de la loi (ATA/78/2008 du 19 février 2008 consid.</w:t>
      </w:r>
    </w:p>
    <w:p>
      <w:r>
        <w:rPr>
          <w:b/>
        </w:rPr>
        <w:t>E. 8</w:t>
      </w:r>
    </w:p>
    <w:p>
      <w:r>
        <w:t>On peut se demander encore si l'on aurait dû exiger de l'Etat qu'il impose la réaffectation de la recourante au poste de directrice de l'assurance-maladie, comme le soutient celle-là et comme le prescrit le dispositif pour les cadres inférieurs.</w:t>
      </w:r>
    </w:p>
    <w:p>
      <w:r>
        <w:rPr>
          <w:b/>
        </w:rPr>
        <w:t>E. 9</w:t>
      </w:r>
    </w:p>
    <w:p>
      <w:r>
        <w:t>En effet, dans son dispositif, le Conseil d'Etat prévoit que l'employé dont le poste a été supprimé est prioritaire sur les autres postulants, internes et externes, et que l'OPE peut imposer sa réaffectation. Cette prérogative ne concerne toutefois que les collaborateurs et les cadres intermédiaires. Le Conseil d'Etat estime que pour les cadres supérieurs, l'application d'une telle règle irait à l'encontre des intérêts de l'Etat. Certes, il ne peut être exigé de ce dernier qu'il place à une fonction clé de son administration et de son organisation une personne qui disposerait des compétences pour le poste à pourvoir, mais dont les capacités seraient inférieures à celles d'autres postulants. Le principe de la proportionnalité exige que l'Etat choisisse, parmi des mesures également aptes à atteindre l'intérêt public visé, celle qui est la moins dommageable pour l'administré. Si un intérêt public prépondérant à l'intérêt privé de l'employé existe, le principe de la proportionnalité n'est pas violé. Ainsi en va-t-il lorsqu'un candidat à une haute fonction s'avère meilleur que celui dont le poste a été supprimé. La réserve pour les cadres supérieurs figurant dans le dispositif ne viole ainsi pas la loi, si elle est assortie de mesures concrètes et sérieuses d'accompagnement, garantissant que tout a été mis en œuvre pour tenter un reclassement. Ainsi, la condition de subsidiarité figurant à l'art. 23 al. 2 LPAC ne s'interprète pas de la même manière selon qu'il s'agit d'un cadre supérieur ou d'un autre collaborateur. Cette interprétation différenciée se justifie par le fait qu'elle est guidée par le principe de la proportionnalité et que les intérêts publics et privés mis en balance ne sont pas</w:t>
      </w:r>
    </w:p>
    <w:p>
      <w:r>
        <w:t>- 17/19 - A/4755/2007 de même poids, selon que l'on se trouve en présence du reclassement d'un cadre supérieur ou de celui d'un autre collaborateur.</w:t>
      </w:r>
    </w:p>
    <w:p>
      <w:r>
        <w:rPr>
          <w:b/>
        </w:rPr>
        <w:t>E. 10</w:t>
      </w:r>
    </w:p>
    <w:p>
      <w:r>
        <w:t>Enfin, l'obligation de l'Etat de rechercher un autre emploi correspondant aux capacités du membre du personnel dont le poste a été supprimé se double, corrélativement, d'une obligation de l'employé, non seulement de ne pas faire obstacle aux démarches entreprises par l'administration, mais de participer activement à son reclassement.</w:t>
      </w:r>
    </w:p>
    <w:p>
      <w:r>
        <w:t>En l'espèce, tel n'a pas été le cas et l'on ne pouvait demander à l'Etat, au vu de cette situation, davantage que ce qu'il a entrepris. On doit admettre qu'il a fait tout ce que l'on pouvait raisonnablement exiger de lui dans les circonstances, conformément au principe de la proportionnalité.</w:t>
      </w:r>
    </w:p>
    <w:p>
      <w:r>
        <w:t>Le grief de violation de l'art. 23 LPAC doit ainsi être écarté.</w:t>
      </w:r>
    </w:p>
    <w:p>
      <w:r>
        <w:rPr>
          <w:b/>
        </w:rPr>
        <w:t>E. 11</w:t>
      </w:r>
    </w:p>
    <w:p>
      <w:r>
        <w:t>La validité de la date d'échéance des rapports de service ne sera pas examinée. En effet, la recourante n'a pas pris de conclusions dans ce sens. En outre, son délai de congé a été prolongé de trois mois par la décision de l'OPE du 4 juillet 2008, suite au différend survenu entre les parties au sujet de la date de notification de l'arrêté attaqué. Cette solution ayant donné droit aux revendications de la recourante, le recours n'a plus d'objet sur ce point.</w:t>
      </w:r>
    </w:p>
    <w:p>
      <w:r>
        <w:rPr>
          <w:b/>
        </w:rPr>
        <w:t>E. 12</w:t>
      </w:r>
    </w:p>
    <w:p>
      <w:r>
        <w:t>Au vu de ce qui précède, le recours sera rejeté. Un émolument de CHF 2'000.- sera mis à la charge de la recourante, qui succombe (art. 87 LPA). En application de l'art. 87 al. 2 LPA,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