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ATA/433/2018 vom 8. Mai 2018</w:t>
      </w:r>
    </w:p>
    <w:p>
      <w:r>
        <w:t>GE Cour de justice, 2018-05-08, FR</w:t>
      </w:r>
    </w:p>
    <w:p>
      <w:r>
        <w:rPr>
          <w:b/>
        </w:rPr>
        <w:t xml:space="preserve">Quelle: </w:t>
      </w:r>
      <w:r>
        <w:t>https://mcp.opencaselaw.ch/entscheid/ge_gerichte_ATA_433_2018</w:t>
      </w:r>
    </w:p>
    <w:p>
      <w:r>
        <w:t>FR: GE_GERICHTE ATA/433/2018 du 8 mai 2018</w:t>
      </w:r>
    </w:p>
    <w:p>
      <w:r>
        <w:t>IT: GE_GERICHTE ATA/433/2018 del 8 maggio 2018</w:t>
      </w:r>
    </w:p>
    <w:p>
      <w:pPr>
        <w:pStyle w:val="Heading2"/>
      </w:pPr>
      <w:r>
        <w:t>Regeste</w:t>
      </w:r>
    </w:p>
    <w:p>
      <w:r>
        <w:t>Résumé: Confirmation de jurisprudence. La décision du DALE ordonnant le dépôt d'une requête en autorisation de construire en vue de régulariser sa situation, suite à la constatation de travaux effectués sans autorisation, constitue une décision incidente.</w:t>
      </w:r>
    </w:p>
    <w:p>
      <w:pPr>
        <w:pStyle w:val="Heading2"/>
      </w:pPr>
      <w:r>
        <w:t>Erwägungen</w:t>
      </w:r>
    </w:p>
    <w:p>
      <w:r>
        <w:rPr>
          <w:b/>
        </w:rPr>
        <w:t>E. 10</w:t>
      </w:r>
    </w:p>
    <w:p>
      <w:r>
        <w:t>octobre 2017).</w:t>
      </w:r>
    </w:p>
    <w:p>
      <w:r>
        <w:t>Cette jurisprudence indique que ne peut être considérée comme finale une décision qui ordonne de déposer une requête d’autorisation de construire relative à des travaux non autorisés constatés par le département. Celui-ci, suite au constat fait, ouvre une procédure administrative qui prendra fin par une décision qui pourra soit constater, sur la base du dossier complet, que les travaux ne sont pas soumis à une autorisation, soit dire que ceux-ci sont soumis à autorisation et accorder ou refuser cette autorisation. La décision litigieuse ne met pas fin à la procédure mais constitue une simple étape dans le cours de celle-ci (arrêt du Tribunal fédéral 1C_278/2017 précité consid. 2.2 ; ATA/1548/2017 précité).</w:t>
      </w:r>
    </w:p>
    <w:p>
      <w:r>
        <w:t>S’agissant des arguments de la recourante quant au fait que le département aurait déjà décidé de soumettre les travaux à la LDTR, ce qui selon elle ressortait des termes de la décision, force est de constater que ni dans sa décision ni même dans son premier courrier du 6 janvier 2016, le département ne statue de façon définitive sur la soumission des travaux à la LDTR ou à la LCI. Les termes employés le 6 janvier 2016 sont : « susceptibles d’être assujettis à la LCI et à la LDTR » et la décision ne fait mention que de requérir « une autorisation de construire relative aux travaux effectués sans droit ». Il n’est dès lors pas possible de retenir que le département aurait rendu une décision finale de soumission à la LDTR.</w:t>
      </w:r>
    </w:p>
    <w:p>
      <w:r>
        <w:t>En conséquence, conformément à la jurisprudence précitée, le recourant s’est vu notifier une décision ordonnant de déposer une requête en vue de régulariser sa situation, décision qui doit être qualifiée d’incidente. 5)</w:t>
      </w:r>
    </w:p>
    <w:p>
      <w:r>
        <w:t>Sont susceptibles d’un recours les décisions incidentes, si elles peuvent causer un préjudice irréparable ou si l’admission du recours peut conduire immédiatement à une décision finale qui permet d’éviter une procédure probatoire longue et coûteuse (art. 57 let. c LPA). 6)</w:t>
      </w:r>
    </w:p>
    <w:p>
      <w:r>
        <w:t>L’art. 57 let. c LPA a la même teneur que l’art. 93 al. 1 let. a de la loi fédérale sur le Tribunal fédéral du 17 juin 2005 (LTF - RS 173.110).</w:t>
      </w:r>
    </w:p>
    <w:p>
      <w:r>
        <w:t>Selon la jurisprudence constante du Tribunal fédéral, un préjudice est irréparable au sens de cette disposition lorsqu’il ne peut être ultérieurement réparé par une décision finale entièrement favorable au recourant (ATF 138 III 46 consid. 1.2 ; 134 III 188 consid. 2.1 et 2.2 ; 133 II 629 consid. 2.3.1). Un intérêt économique ou un intérêt tiré du principe de l’économie de procédure peut</w:t>
      </w:r>
    </w:p>
    <w:p>
      <w:r>
        <w:t>- 7/9 - A/3068/2016 constituer un tel préjudice (ATF 135 II 30 ; 134 II 137 ; 127 II 132 consid. 2a ; 126 V 244 consid. 2c ; 125 II 613 consid. 2a). Le simple fait d’avoir à subir une procédure et les inconvénients qui y sont liés ne constitue toutefois pas, en soi, un préjudice irréparable (ATF 133 IV 139 consid. 4 ; arrêt du Tribunal fédéral 1C_149/2008 du 12 août 2008 consid. 2.1 ; ATA/305/2009 du 23 juin 2009 consid. 2b et 5b et les références citées). Un dommage de pur fait, tel que la prolongation de la procédure ou un accroissement des frais de celle-ci, n’est notamment pas considéré comme un dommage irréparable de ce point de vue (ATF 133 II 629 consid. 2.3.1 ; 131 I 57 consid. 1 ; 129 III 107 consid. 1.2.1 ; 127 I 92 consid. 1c ; 126 I 97 consid. 1b).</w:t>
      </w:r>
    </w:p>
    <w:p>
      <w:r>
        <w:t>La chambre administrative a précisé à plusieurs reprises que l’art. 57 let. c LPA devait être interprété à la lumière de ces principes (ATA/231/2017 du 22 février 2017 ; ATA/385/2016 du 3 mai 2016 ; ATA/64/2014 du 4 février 2014).</w:t>
      </w:r>
    </w:p>
    <w:p>
      <w:r>
        <w:t>Lorsqu’il n’est pas évident que le recourant soit exposé à un préjudice irréparable, il lui incombe d’expliquer dans son recours en quoi il serait exposé à un tel préjudice et de démontrer ainsi que les conditions de recevabilité de son recours sont réunies (ATF 136 IV 92 consid. 4).</w:t>
      </w:r>
    </w:p>
    <w:p>
      <w:r>
        <w:t>En l’espèce, la décision querellée se limite à exiger le dépôt d’une requête afin précisément de pouvoir l’instruire. Elle ne préjuge pas de la décision finale, laquelle est expressément réservée selon les termes de la décision querellée.</w:t>
      </w:r>
    </w:p>
    <w:p>
      <w:r>
        <w:t>Déposer une requête en autorisation n’impose que de simples démarches administratives. La propriétaire aura en conséquence tout loisir de faire valoir ses arguments dans le cadre de l’instruction de la requête.</w:t>
      </w:r>
    </w:p>
    <w:p>
      <w:r>
        <w:t>Contrairement à ce que soutient la recourante, déposer la requête sollicitée par le département ne revient pas à admettre que les travaux sont soumis à la LDTR, mais permettra d’instruire de façon approfondie tous les faits pertinents avant qu’une décision soit prise (ATA/362/2017 précité). Il appartient en effet à l’autorité d’établir les faits d’office (art. 19 LPA) et de réunir les renseignements pour fonder sa décision (art. 20 al. 1 LPA).</w:t>
      </w:r>
    </w:p>
    <w:p>
      <w:r>
        <w:t>De surcroît, il n’est pas exclu qu’à l’issue de l’instruction de la demande d’autorisation de construire, le département considère qu’il s’agisse de travaux d’entretien (dans ce sens arrêt du Tribunal fédéral 1C_470/2008 du 11 novembre 2008 consid. 2.2).</w:t>
      </w:r>
    </w:p>
    <w:p>
      <w:r>
        <w:t>Par ailleurs, quelle que soit la décision du département, la recourante conservera la possibilité de recourir, cas échéant en contestant à ce stade la soumission à autorisation.</w:t>
      </w:r>
    </w:p>
    <w:p>
      <w:r>
        <w:t>- 8/9 - A/3068/2016 7)</w:t>
      </w:r>
    </w:p>
    <w:p>
      <w:r>
        <w:t>Dans sa seconde hypothèse, l’art. 57 let. c LPA, prévoit que le recours est recevable si son admission peut conduire immédiatement à une décision finale qui permet d’éviter une procédure probatoire longue et coûteuse.</w:t>
      </w:r>
    </w:p>
    <w:p>
      <w:r>
        <w:t>En l’espèce, la décision attaquée a précisément pour conséquence d’obliger le recourant à déposer une requête formelle afin que le département puisse examiner la situation et instruire le dossier avant de décider.</w:t>
      </w:r>
    </w:p>
    <w:p>
      <w:r>
        <w:t>La question de savoir s’il s’agit de travaux d’entretien ou de transformation n’est en conséquence pas l’objet du présent litige (ATA/526/2016 et ATA/527/2016 précités). À défaut du dépôt d’une requête formelle et de l’instruction du dossier par le département, l’autorité compétente ne peut pas se prononcer sur la question de fond. C’est précisément pour cette raison que le département a ordonné le dépôt d’une requête formelle.</w:t>
      </w:r>
    </w:p>
    <w:p>
      <w:r>
        <w:t>De surcroît, dans ce dossier, le dépôt de la requête ne nécessite pas l’élaboration d’un travail démesuré ou excessivement coûteux.</w:t>
      </w:r>
    </w:p>
    <w:p>
      <w:r>
        <w:t>La présente procédure de recours n’est en conséquence pas susceptible de déboucher sur une décision finale permettant d’éviter une procédure probatoire longue et coûteuse (art. 57 let. c LPA in fine).</w:t>
      </w:r>
    </w:p>
    <w:p>
      <w:r>
        <w:t>La seconde hypothèse visée par l’art. 57 let. c LPA n’est pas réalisée. 8)</w:t>
      </w:r>
    </w:p>
    <w:p>
      <w:r>
        <w:t>Les conditions de l’art. 57 let. c LPA n’étant pas remplies, c’est à juste titre que le TAPI a déclaré le recours irrecevable.</w:t>
      </w:r>
    </w:p>
    <w:p>
      <w:r>
        <w:t>En conséquence, le recours qui, compte tenu de la jurisprudence bien établie de la chambre de céans en la matière pourrait être qualifié de téméraire, sera rejeté. 9)</w:t>
      </w:r>
    </w:p>
    <w:p>
      <w:r>
        <w:t>Vu l’issue du litige, un émolument de CHF 1’000.- sera mis à la charge de la recourante (art. 87 al. 1 LPA). Il ne sera alloué aucune indemnité de procédure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