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ATA/432/2017 vom 12. April 2017</w:t>
      </w:r>
    </w:p>
    <w:p>
      <w:r>
        <w:t>GE Cour de justice, 2017-04-12, FR</w:t>
      </w:r>
    </w:p>
    <w:p>
      <w:r>
        <w:rPr>
          <w:b/>
        </w:rPr>
        <w:t xml:space="preserve">Quelle: </w:t>
      </w:r>
      <w:r>
        <w:t>https://mcp.opencaselaw.ch/entscheid/ge_gerichte_ATA_432_2017</w:t>
      </w:r>
    </w:p>
    <w:p>
      <w:r>
        <w:t>FR: GE_GERICHTE ATA/432/2017 du 12 avril 2017</w:t>
      </w:r>
    </w:p>
    <w:p>
      <w:r>
        <w:t>IT: GE_GERICHTE ATA/432/2017 del 12 aprile 2017</w:t>
      </w:r>
    </w:p>
    <w:p>
      <w:pPr>
        <w:pStyle w:val="Heading2"/>
      </w:pPr>
      <w:r>
        <w:t>Erwägungen</w:t>
      </w:r>
    </w:p>
    <w:p>
      <w:r>
        <w:rPr>
          <w:b/>
        </w:rPr>
        <w:t>E. 1</w:t>
      </w:r>
    </w:p>
    <w:p>
      <w:r>
        <w:t>Selon l’art. 10 al. 2 1ère phr. LaLEtr, la chambre administrative doit statuer dans les dix jours qui suivent sa saisine. Ayant reçu le recours le 5 avril 2017 et statuant ce jour, elle respecte ce délai.</w:t>
      </w:r>
    </w:p>
    <w:p>
      <w:r>
        <w:rPr>
          <w:b/>
        </w:rPr>
        <w:t>E. 2</w:t>
      </w:r>
    </w:p>
    <w:p>
      <w:r>
        <w:t>Interjeté devant la juridiction compétente, le recours est recevable de ce point de vue (art. 132 LOJ ; art. 62 al. 1 let. a de la loi sur la procédure administrative du 12 septembre 1985 - LPA - E 5 10).</w:t>
      </w:r>
    </w:p>
    <w:p>
      <w:r>
        <w:rPr>
          <w:b/>
        </w:rPr>
        <w:t>E. 3</w:t>
      </w:r>
    </w:p>
    <w:p>
      <w:r>
        <w:t>a. Selon l'art. 10 al. 1 LaLEtr, le recours à la chambre administrative doit être formé par écrit dans les dix jours qui suivent la notification de la décision attaquée.</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c. Les écrits doivent parvenir à l’autorité ou être remis à son adresse à un bureau de poste suisse ou à une représentation diplomatique ou consulaire suisse au plus tard le dernier jour du délai avant minuit (art. 17 al. 4 LPA).</w:t>
      </w:r>
    </w:p>
    <w:p>
      <w:r>
        <w:t>d.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4</w:t>
      </w:r>
    </w:p>
    <w:p>
      <w:r>
        <w:t>En l'espèce, le présent recours porte un cachet postal daté du 4 avril 2017, alors que le délai de dix jours venait à échéance le 3 avril 2017.</w:t>
      </w:r>
    </w:p>
    <w:p>
      <w:r>
        <w:t>Le recours à un ou plusieurs témoins attestant, sur l'enveloppe, du dépôt de l'acte de recours dans une boîte aux lettres le dernier jour du délai avant minuit a certes été reconnu par la jurisprudence comme un procédé acceptable (ATA/455/2016 du 31 mai 2016 consid. 1 et les arrêts fédéraux et cantonaux cités). Néanmoins, ici le (seul) témoin a indiqué l'heure du dépôt, mais pas sa date,</w:t>
      </w:r>
    </w:p>
    <w:p>
      <w:r>
        <w:t>- 7/12 - A/973/2017 ni du reste un moyen plus précis d'identifier ou de convoquer le témoin, comme son adresse exacte ou une copie de ses papiers d'identité. Le dépôt en temps utile du présent recours apparaît dès lors des plus douteux.</w:t>
      </w:r>
    </w:p>
    <w:p>
      <w:r>
        <w:t>La question de la recevabilité du présent recours souffrira toutefois de rester ouverte au vu de ce qui suit.</w:t>
      </w:r>
    </w:p>
    <w:p>
      <w:r>
        <w:rPr>
          <w:b/>
        </w:rPr>
        <w:t>E. 5</w:t>
      </w:r>
    </w:p>
    <w:p>
      <w:r>
        <w:t>a. Selon la jurisprudence du Tribunal fédéral, la qualité pour recourir suppose un intérêt actuel au recours (ATF 135 I 79 consid. 1 p. 82 ; 131 II 361 consid. 1.2 p. 365).</w:t>
      </w:r>
    </w:p>
    <w:p>
      <w:r>
        <w:t>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w:t>
      </w:r>
    </w:p>
    <w:p>
      <w:r>
        <w:t>c. La jurisprudence admet toutefois que, dans des circonstances particulières, il se justifie d'examiner le recours au fond malgré la perte d’actualité du recours durant la procédure devant le Tribunal fédéral (ATF 137 I 296 consid. 4.2 et 4.3). En particulier, l'autorité de recours doit entrer en matière pour examiner la licéité de la détention administrative,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ATA/415/2016 du 24 mai 2016 consid. 4 ; ATA/1031/2014 du 17 décembre 2014 consid. 2).</w:t>
      </w:r>
    </w:p>
    <w:p>
      <w:r>
        <w:rPr>
          <w:b/>
        </w:rPr>
        <w:t>E. 6</w:t>
      </w:r>
    </w:p>
    <w:p>
      <w:r>
        <w:t>En l’espèce, les recourants ne sont plus en détention administrative depuis le 15 mars 2017, date de leur renvoi.</w:t>
      </w:r>
    </w:p>
    <w:p>
      <w:r>
        <w:t>La question de leur intérêt à agir souffrira cependant de rester ouverte au vu de ce qui suit.</w:t>
      </w:r>
    </w:p>
    <w:p>
      <w:r>
        <w:rPr>
          <w:b/>
        </w:rPr>
        <w:t>E. 7</w:t>
      </w:r>
    </w:p>
    <w:p>
      <w:r>
        <w:t>Les recourants font grief à l’intimé d’avoir violé l’art. 76 al. 1 let. b LEtr en fondant les deux « ordres de placement » sur l'art. 9 al. 1 let. c LUsC.</w:t>
      </w:r>
    </w:p>
    <w:p>
      <w:r>
        <w:rPr>
          <w:b/>
        </w:rPr>
        <w:t>E. 8</w:t>
      </w:r>
    </w:p>
    <w:p>
      <w:r>
        <w:t>a. La LUsC règle les principes applicables à l'usage de la contrainte et des mesures policières dans les domaines relevant de la compétence de la Confédération (art. 1 LUsC). Elle s'applique, notamment, à toute autorité fédérale amenée à faire usage de la contrainte ou de mesures policières dans le cadre de</w:t>
      </w:r>
    </w:p>
    <w:p>
      <w:r>
        <w:t>- 8/12 - A/973/2017 l'exécution de ses tâches (art. 2 al. 1 let. a LUsC) et à toute autorité cantonale amenée à faire usage de la contrainte ou de mesures policières dans le domaine du droit d'asile et du droit des étrangers (art. 2 al. 1 let. b. LUsC).</w:t>
      </w:r>
    </w:p>
    <w:p>
      <w:r>
        <w:t>La LUsC s'applique à la contrainte et aux mesures policières prévues par le droit fédéral de procédure sous réserve des dispositions spéciales de ce dernier (art. 3 LUsC).</w:t>
      </w:r>
    </w:p>
    <w:p>
      <w:r>
        <w:t>Par mesures policières, on entend, notamment, la rétention de personnes pour une courte durée (art. 6 let. a LUsC).</w:t>
      </w:r>
    </w:p>
    <w:p>
      <w:r>
        <w:t>La contrainte et les mesures policières ne peuvent être utilisées que pour maintenir ou rétablir une situation conforme au droit, en particulier pour effectuer le transport de personnes soumises à une mesure restreignant leur liberté (art. 9 al. 1 let. c LUsC) et pour empêcher la fuite de personnes soumises à une mesure restreignant leur liberté (art. 9 al. 1 let. d LUsC).</w:t>
      </w:r>
    </w:p>
    <w:p>
      <w:r>
        <w:t>Lorsqu'une personne est retenue pour une courte durée, elle doit être informée des raisons de sa rétention (art. 19 al. 1 let. a LUsC) et avoir la possibilité d'entrer en contact avec les personnes chargées de sa surveillance si elle a besoin d'aide (art. 19 al. 1 let. a LUsC). La rétention peut durer qu'aussi longtemps que les circonstances l'exigent; elle ne peut pas excéder 24 heures (art. 19 al. 2 LUsC).</w:t>
      </w:r>
    </w:p>
    <w:p>
      <w:r>
        <w:t>Le Conseil fédéral édicte les dispositions nécessaires relatives au transport de personnes soumises à une mesure restreignant leur liberté (art. 26 al. 1 LUsC).</w:t>
      </w:r>
    </w:p>
    <w:p>
      <w:r>
        <w:t>b. L'autorité qui ordonne le transport décerne un mandat à l'organe chargé du transport. Le mandat est décerné par écrit, au moyen du formulaire de transport (art. 15 de l’ordonnance relative à l'usage de la contrainte et de mesures policières dans les domaines relevant de la compétence de la Confédération du 12 novembre 2008 - Ordonnance sur l'usage de la contrainte, OLUsC – RS 364.3).</w:t>
      </w:r>
    </w:p>
    <w:p>
      <w:r>
        <w:t>Aux termes de l’art. 27 OLUsC, le rapatriement sous escorte est en principe effectué par les organes de police du canton chargé de l'exécution du renvoi ou ayant pris la décision de renvoi. Il est effectué sous la direction du chef d'équipe, qui collabore avec les organes de police de l'aéroport. La police de l'aéroport exécute les préparatifs du transport sur l'aire de l'aéroport. Le canton informe le SEM du nombre de personnes à rapatrier et d'agents d'escorte qu'il peut fournir. L'assistance à l'exécution fournie par le SEM, en particulier l'organisation des rapatriements par voie aérienne, est régie par l'ordonnance sur l'exécution du renvoi et de l'expulsion d'étrangers du 11 août 1999 - OERE – RS 142.281).</w:t>
      </w:r>
    </w:p>
    <w:p>
      <w:r>
        <w:t>c. Selon le message du Conseil fédéral du 18 janvier 2006 (ci-après : le message ; FF 2006 2429, 2441), l’art. 7 LUsC rappelle le principe selon lequel cette loi n'a pas pour objet d'attribuer aux autorités d'exécution la compétence de</w:t>
      </w:r>
    </w:p>
    <w:p>
      <w:r>
        <w:t>- 9/12 - A/973/2017 faire usage de la contrainte ou de mesures policières, cette attribution résultant de la législation propre à chaque domaine, mais elle a pour objet de régler les principes généraux ainsi que les modalités et les moyens admissibles pour les autorités habilitées à faire usage de la contrainte et des mesures policières en vertu d'autres lois.</w:t>
      </w:r>
    </w:p>
    <w:p>
      <w:r>
        <w:t>Selon le message (op. cit, p. 2442), l'art. 9 al. 1 LUsC rappelle l'exigence d'une base légale pour l'usage de la contrainte policière et les al. 2 et 3 de cette disposition concrétisent l'exigence du respect du principe de proportionnalité prévu par la Constitution. « La notion de rétention est une notion générale qui englobe toutes les formes de restriction de liberté, de la simple appréhension jusqu’à la rétention pour une durée de 24 heures. Elle se distingue de l’arrestation formelle confirmée par le juge. La rétention de courte durée est soumise aux conditions de l’art. 9 de la loi, à savoir qu’elle n’est possible que pour écarter un danger, pour effectuer des transports, empêcher la fuite ou encore identifier des personnes » (FF 2006 2429, 2445).</w:t>
      </w:r>
    </w:p>
    <w:p>
      <w:r>
        <w:t>d. Les dispositions de la LUsC s'appliquent aux polices cantonales si ces dernières effectuent des tâches visées par l'art. 2 LUsC (droit d'asile, droit des étrangers, tâches relevant de la Police judiciaire fédérale, transport de personnes privées de liberté sur mandat d'une autorité fédérale) (Droit des mesures policières ; Principes généraux, cadre juridique et coopération policière, Marc RÉMY, Schulthess, 2008, p. 60).</w:t>
      </w:r>
    </w:p>
    <w:p>
      <w:r>
        <w:rPr>
          <w:b/>
        </w:rPr>
        <w:t>E. 9</w:t>
      </w:r>
    </w:p>
    <w:p>
      <w:r>
        <w:t>La rétention de courte durée prévue par l'art. 19 LUsC doit être distinguée de la rétention de l'art. 73 LEtr. Selon cette dernière disposition, les autorités compétentes de la Confédération ou des cantons peuvent procéder à la rétention de personnes dépourvues d'autorisation de courte durée, de séjour ou d'établissement afin de leur notifier une décision relative à leur statut de séjour (art. 73 al. 1 let. a LEtr) ou d'établir leur identité et leur nationalité, pour autant qu'elles aient l'obligation de collaborer à cet effet (art. 73 al. 1 let. b LEtr).</w:t>
      </w:r>
    </w:p>
    <w:p>
      <w:r>
        <w:rPr>
          <w:b/>
        </w:rPr>
        <w:t>E. 10</w:t>
      </w:r>
    </w:p>
    <w:p>
      <w:r>
        <w:t>Selon l’art. 69 al. 1 LEtr, qui traite de la décision d’exécution du renvoi, l'autorité cantonale compétente exécute le renvoi ou l'expulsion d'un étranger dans les cas suivants : le délai imparti pour son départ est écoulé (let. a), l'étranger peut être renvoyé ou expulsé immédiatement (let. b), l'étranger se trouve en détention en vertu de l'art. 76 ou 77 et la décision de renvoi ou d'expulsion est exécutoire (let. c).</w:t>
      </w:r>
    </w:p>
    <w:p>
      <w:r>
        <w:t>Les personnes chargées de l’exécution de la LEtr peuvent, si leur mandat l’exige et dans la mesure où les intérêts à protéger le justifient, faire usage de la contrainte et de mesures policières (art. 98a LEtr).</w:t>
      </w:r>
    </w:p>
    <w:p>
      <w:r>
        <w:rPr>
          <w:b/>
        </w:rPr>
        <w:t>E. 11</w:t>
      </w:r>
    </w:p>
    <w:p>
      <w:r>
        <w:t>a. L’exécution de la décision de renvoi peut rendre nécessaire la mise en œuvre de mesures de contrainte policières. Celles-ci sont ordonnées selon la</w:t>
      </w:r>
    </w:p>
    <w:p>
      <w:r>
        <w:t>- 10/12 - A/973/2017 LUsC. Le principe de la proportionnalité doit être respecté (directives et commentaires, domaine des étrangers du SEM - Directives LEtr) en matière de droit des étrangers, Berne, octobre 2013 (actualisée le 12 avril 2017, n° 9.1).</w:t>
      </w:r>
    </w:p>
    <w:p>
      <w:r>
        <w:t>b. L’art. 98a LEtr ab initio donne le droit aux personnes chargées de l’exécution de la LEtr d’utiliser la contrainte et des mesures policières. Toutefois, ce droit est limité par le mandat et les intérêts à protéger. Selon l’art. 7 LUsC, ce sont les lois spéciales qui désignent les autorités pouvant faire usage de la contrainte en matière de renvoi. Les cantons étant compétents pour exécuter le renvoi des étrangers (art. 69), ce sont les polices cantonales qui sont chargées de l’escorte de personnes en situations irrégulières sur le territoire suisse. Selon l’art. 2 al. 1 let. b LUsC, les autorités cantonales chargées de l’application du droit des migrations peuvent faire usage de la contrainte (Code annoté du droit des migrations, vol. II, Loi sur les étrangers, Olivier BIGLER/Yannick BUSSY, ad. art. 98 à 99, n° 37).</w:t>
      </w:r>
    </w:p>
    <w:p>
      <w:r>
        <w:rPr>
          <w:b/>
        </w:rPr>
        <w:t>E. 12</w:t>
      </w:r>
    </w:p>
    <w:p>
      <w:r>
        <w:t>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w:t>
      </w:r>
    </w:p>
    <w:p>
      <w:r>
        <w:rPr>
          <w:b/>
        </w:rPr>
        <w:t>E. 13</w:t>
      </w:r>
    </w:p>
    <w:p>
      <w:r>
        <w:t>En l’espèce, le délai imparti aux recourants au 28 septembre 2016 pour quitter la Suisse était écoulé (art. 69 al. 1 let. a LEtr). Les autorités cantonales compétentes étaient autorisées à exécuter le renvoi.</w:t>
      </w:r>
    </w:p>
    <w:p>
      <w:r>
        <w:t>La rétention des recourants à compter du 14 mars 2017 s’inscrivaient exclusivement dans le contexte de l’exécution de la décision de renvoi et aucunement dans le cadre d’une mesure de contrainte au sens des art. 73 ss LEtr. Dans ce cadre strict, l’intervention des autorités compétentes s’est faite au moyen de la LUsC par le renvoi de l’art. 98a LEtr et des dispositions précitées, notamment l’art. 69 LEtr.</w:t>
      </w:r>
    </w:p>
    <w:p>
      <w:r>
        <w:t>C’est en conséquence à tort que les recourants considèrent que les autorités ont violé l’art. 76 LEtr, non applicable en l’espèce. Les modalités de l’exécution de la décision de renvoi du 29 avril 2016 ne prêtait d’ailleurs pas à confusion s’agissant d’une rétention de quelques heures, à compter de 23h35 pour le recourant, respectivement 23h45 pour la recourante, le vol étant prévu à 6h le lendemain matin. Les recourants ont par ailleurs été amenés au SARA. Enfin, l’exécution de la décision de renvoi a été effectuée dans les vingt-quatre heures qui ont suivi le début de la rétention.</w:t>
      </w:r>
    </w:p>
    <w:p>
      <w:r>
        <w:t>À ce titre, les arrêts prononcés le 30 avril 2015 par la chambre de céans (ATA/407/2015, ATA/408/2015 et ATA/409/2015) sont sans rapport avec le présent dossier puisqu’ils traitaient d’une situation différente, soit de l’application</w:t>
      </w:r>
    </w:p>
    <w:p>
      <w:r>
        <w:t>- 11/12 - A/973/2017 erronée de la LUsC par le commissaire de police dans une situation de rétention au sens de l’art. 73 LEtr. Or, dans le cas d'un étranger retenu par la police cantonale dans l'attente d’une décision relative à son statut de séjour qui doit être prise par l'autorité du même canton compétente en la matière, la mise en rétention ne peut intervenir que sur la base de l'art. 73 LEtr (Minh Son NGUYEN, les renvois et leur exécution, 2011, p. 172).</w:t>
      </w:r>
    </w:p>
    <w:p>
      <w:r>
        <w:t>Dans le cas d’espèce, s’agissant exclusivement d’une procédure d’exécution, par les autorités compétentes, d’une décision de renvoi, définitive et exécutoire, comme précisé ci-dessous, c’est à bon droit que le TAPI s’est déclaré incompétent.</w:t>
      </w:r>
    </w:p>
    <w:p>
      <w:r>
        <w:rPr>
          <w:b/>
        </w:rPr>
        <w:t>E. 14</w:t>
      </w:r>
    </w:p>
    <w:p>
      <w:r>
        <w:t>Par ailleurs, les recourants se trompent lorsqu’ils invoquent que la décision n’était pas définitive et qu’une procédure était en cours. Les recourants faisaient l'objet d'une décision de renvoi définitive et exécutoire du 29 avril 2016, suite au rejet de leur recours par le TAF le 24 août 2016. Le fait qu'ils aient sollicité une admission provisoire n'y changeait rien. Par ailleurs, au moment du renvoi, le SEM n’avait pas accordé de mesures provisionnelles.</w:t>
      </w:r>
    </w:p>
    <w:p>
      <w:r>
        <w:rPr>
          <w:b/>
        </w:rPr>
        <w:t>E. 15</w:t>
      </w:r>
    </w:p>
    <w:p>
      <w:r>
        <w:t>Enfin, les garanties procédurales revendiquées par les recourants, notamment le droit d’entrer en contact avec son conseil ou d’être entendu, ne trouvent pas application s’agissant des mesures d’exécution de la décision de renvoi.</w:t>
      </w:r>
    </w:p>
    <w:p>
      <w:r>
        <w:rPr>
          <w:b/>
        </w:rPr>
        <w:t>E. 16</w:t>
      </w:r>
    </w:p>
    <w:p>
      <w:r>
        <w:t>Entièrement mal fondé, le recours sera rejeté en tant qu’il est recevable.</w:t>
      </w:r>
    </w:p>
    <w:p>
      <w:r>
        <w:t>Vu la nature du litige, il ne sera pas perçu d’émolument (art. 87 al. 1 LPA et art. 12 du règlement sur les frais, émoluments et indemnités en procédure administrative du 30 juillet 1986 - RFPA - E 5 10.03). Vu son issue, aucune indemnité de procédure ne sera allouée aux recourants, qui succombent (art. 87 al. 2 LPA).</w:t>
      </w:r>
    </w:p>
    <w:p>
      <w:r>
        <w:t>* * * * *</w:t>
      </w:r>
    </w:p>
    <w:p>
      <w:r>
        <w:t>- 12/12 - A/973/2017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