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ATA/432/2013 vom 23. Juli 2013</w:t>
      </w:r>
    </w:p>
    <w:p>
      <w:r>
        <w:t>GE Cour de justice, 2013-07-23, FR</w:t>
      </w:r>
    </w:p>
    <w:p>
      <w:r>
        <w:rPr>
          <w:b/>
        </w:rPr>
        <w:t xml:space="preserve">Quelle: </w:t>
      </w:r>
      <w:r>
        <w:t>https://mcp.opencaselaw.ch/entscheid/ge_gerichte_ATA_432_2013</w:t>
      </w:r>
    </w:p>
    <w:p>
      <w:r>
        <w:t>FR: GE_GERICHTE ATA/432/2013 du 23 juillet 2013</w:t>
      </w:r>
    </w:p>
    <w:p>
      <w:r>
        <w:t>IT: GE_GERICHTE ATA/432/2013 del 23 luglio 2013</w:t>
      </w:r>
    </w:p>
    <w:p>
      <w:pPr>
        <w:pStyle w:val="Heading2"/>
      </w:pPr>
      <w:r>
        <w:t>Erwägungen</w:t>
      </w:r>
    </w:p>
    <w:p>
      <w:r>
        <w:rPr>
          <w:b/>
        </w:rPr>
        <w:t>E. 1</w:t>
      </w:r>
    </w:p>
    <w:p>
      <w:r>
        <w:t>Le recours a été interjeté en temps utile devant la juridiction compétente et il est recevable (art. 15 al. 2 de l’accord intercantonal sur les marchés publics du 25 novembre 1994 - AIMP - L 6 05 ; art. 62 al. 1 let. b de la loi sur la procédure administrative du 12 septembre 1985 - LPA - E 5 10).</w:t>
      </w:r>
    </w:p>
    <w:p>
      <w:r>
        <w:rPr>
          <w:b/>
        </w:rPr>
        <w:t>E. 2</w:t>
      </w:r>
    </w:p>
    <w:p>
      <w:r>
        <w:t>A titre préalable, la recourante demande à pouvoir prendre connaissance de l’offre de l’adjudicataire, tout en s’opposant à ce que cette dernière ait accès à la sienne, en sollicitant un délai pour se déterminer sur effet suspensif avant le prononcé d’une décision sur cette question.</w:t>
      </w:r>
    </w:p>
    <w:p>
      <w:r>
        <w:t>De par sa nature, une décision sur effet suspensif revêt une certaine urgence. Selon la pratique de la chambre de céans, il n’y a pas lieu, au vu du dossier et des pièces produites, de permettre à la recourante, qui a déposé un recours fort complet, d’apporter des adjonctions à celui-ci à ce stade de la procédure.</w:t>
      </w:r>
    </w:p>
    <w:p>
      <w:r>
        <w:rPr>
          <w:b/>
        </w:rPr>
        <w:t>E. 3</w:t>
      </w:r>
    </w:p>
    <w:p>
      <w:r>
        <w:t>Aux termes des art. 17 al. 1 AIMP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w:t>
      </w:r>
    </w:p>
    <w:p>
      <w:r>
        <w:rPr>
          <w:b/>
        </w:rPr>
        <w:t>E. 4</w:t>
      </w:r>
    </w:p>
    <w:p>
      <w:r>
        <w:t>La restitution de l’effet suspensif constitue cependant une exception en matière de marchés publics et représente une mesure dont les conditions ne peuvent être admises qu’avec restriction (ATA/383/2012 du 13 juin 2012 ; ATA/752/2011 du</w:t>
      </w:r>
    </w:p>
    <w:p>
      <w:r>
        <w:t>- 5/6 - A/2168/2013</w:t>
      </w:r>
    </w:p>
    <w:p>
      <w:r>
        <w:rPr>
          <w:b/>
        </w:rPr>
        <w:t>E. 8</w:t>
      </w:r>
    </w:p>
    <w:p>
      <w:r>
        <w:t>La présente décision est prise en application de l’art. 7 du règlement interne de la chambre administrative du 21 décembre 2010.</w:t>
      </w:r>
    </w:p>
    <w:p>
      <w:r>
        <w:t>LA CHAMBRE ADMINISTRATIVE rejette la requête en restitution de l’effet suspensif ; impartit à la recourante un délai sur le fond pour répliquer au 31 août 2013 ; réserve le sort des frais de la procédure jusqu’à droit jugé au fond ;</w:t>
      </w:r>
    </w:p>
    <w:p>
      <w:r>
        <w:t>- 6/6 - A/2168/2013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Jean-Michel Brahier, avocat de la recourante, à Me Bertrand Reich, avocat des Transports publics genevois, ainsi qu’à Me Michel Chevalley, avocat de MNC Mobile News Channel S.A.,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