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ATA/431/2011 vom 30. Juni 2011</w:t>
      </w:r>
    </w:p>
    <w:p>
      <w:r>
        <w:t>GE Cour de justice, 2011-06-30, FR</w:t>
      </w:r>
    </w:p>
    <w:p>
      <w:r>
        <w:rPr>
          <w:b/>
        </w:rPr>
        <w:t xml:space="preserve">Quelle: </w:t>
      </w:r>
      <w:r>
        <w:t>https://mcp.opencaselaw.ch/entscheid/ge_gerichte_ATA_431_2011</w:t>
      </w:r>
    </w:p>
    <w:p>
      <w:r>
        <w:t>FR: GE_GERICHTE ATA/431/2011 du 30 juin 2011</w:t>
      </w:r>
    </w:p>
    <w:p>
      <w:r>
        <w:t>IT: GE_GERICHTE ATA/431/2011 del 30 giugno 2011</w:t>
      </w:r>
    </w:p>
    <w:p>
      <w:pPr>
        <w:pStyle w:val="Heading2"/>
      </w:pPr>
      <w:r>
        <w:t>Erwägungen</w:t>
      </w:r>
    </w:p>
    <w:p>
      <w:r>
        <w:rPr>
          <w:b/>
        </w:rPr>
        <w:t>E. 1</w:t>
      </w:r>
    </w:p>
    <w:p>
      <w:r>
        <w:t>La recevabilité du recours sera laissée ouverte en l’état.</w:t>
      </w:r>
    </w:p>
    <w:p>
      <w:r>
        <w:rPr>
          <w:b/>
        </w:rPr>
        <w:t>E. 2</w:t>
      </w:r>
    </w:p>
    <w:p>
      <w:r>
        <w:t>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t>- 3/4 - A/1367/2011</w:t>
      </w:r>
    </w:p>
    <w:p>
      <w:r>
        <w:rPr>
          <w:b/>
        </w:rPr>
        <w:t>E. 3</w:t>
      </w:r>
    </w:p>
    <w:p>
      <w:r>
        <w:t>Il est conforme à l’institution de l’effet suspensif que celui-ci empêche ou paralyse l’exécution d’une décision sujette à un recours jusqu’à droit connu, c’est-à- 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w:t>
      </w:r>
    </w:p>
    <w:p>
      <w:r>
        <w:t>Il est donc exclu d’attribuer un effet suspensif à une décision négative. Dans un tel cas, la voie à suivre est celle de mesures provisionnelles (ATF 117 V 185 et ss ; ACOM/21/2008 du 20 février 2008 et les références citées).</w:t>
      </w:r>
    </w:p>
    <w:p>
      <w:r>
        <w:t>Ainsi, la chambre administrative examinera la demande présentée par la recourante exclusivement sous l’angle des mesures provisionnelles.</w:t>
      </w:r>
    </w:p>
    <w:p>
      <w:r>
        <w:rPr>
          <w:b/>
        </w:rPr>
        <w:t>E. 4</w:t>
      </w:r>
    </w:p>
    <w:p>
      <w:r>
        <w:t>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(ACOM/84/2008 du 24 juillet 2008 ; ATF 119 V 506, consid. 3).</w:t>
      </w:r>
    </w:p>
    <w:p>
      <w:r>
        <w:rPr>
          <w:b/>
        </w:rPr>
        <w:t>E. 5</w:t>
      </w:r>
    </w:p>
    <w:p>
      <w:r>
        <w:t>En l’espèce, les conclusions préalables prises par la recourante se confondent avec celles qu’elle prend sur le fond. Or, elle ne saurait, par le biais d’une décision sur mesures provisionnelles, obtenir une décision qui équivaudrait précisément à l’admission du recours sur le fond (ATA/155/2009 du 27 mars 2009; ATA/29/2011 du 18 janvier 2011).</w:t>
      </w:r>
    </w:p>
    <w:p>
      <w:r>
        <w:rPr>
          <w:b/>
        </w:rPr>
        <w:t>E. 6</w:t>
      </w:r>
    </w:p>
    <w:p>
      <w:r>
        <w:t>Compte tenu de ce qui précède, la requête en mesures provisionnelles sera rejetée (art. 7 du règlement interne de la chambre administrative du 21 décembre 2010, entré en vigueur le 1er janvier 2011).</w:t>
      </w:r>
    </w:p>
    <w:p>
      <w:r>
        <w:rPr>
          <w:b/>
        </w:rPr>
        <w:t>E. 7</w:t>
      </w:r>
    </w:p>
    <w:p>
      <w:r>
        <w:t>Le sort des frais sera réservé jusqu’à droit jugé au fond.</w:t>
      </w:r>
    </w:p>
    <w:p>
      <w:r>
        <w:t>- 4/4 - A/1367/2011 LA CHAMBRE ADMINISTRATIVE rejette la demande de mesures provisionnelles formée par Madame M______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M______, représentée par son père Monsieur M______, ainsi qu'à l'Université de Genève.</w:t>
      </w:r>
    </w:p>
    <w:p>
      <w:r>
        <w:t>Le président siégeant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