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ATA/430/2022 vom 26. April 2022</w:t>
      </w:r>
    </w:p>
    <w:p>
      <w:r>
        <w:t>GE Cour de justice, 2022-04-26, FR</w:t>
      </w:r>
    </w:p>
    <w:p>
      <w:r>
        <w:rPr>
          <w:b/>
        </w:rPr>
        <w:t xml:space="preserve">Quelle: </w:t>
      </w:r>
      <w:r>
        <w:t>https://mcp.opencaselaw.ch/entscheid/ge_gerichte_ATA_430_2022</w:t>
      </w:r>
    </w:p>
    <w:p>
      <w:r>
        <w:t>FR: GE_GERICHTE ATA/430/2022 du 26 avril 2022</w:t>
      </w:r>
    </w:p>
    <w:p>
      <w:r>
        <w:t>IT: GE_GERICHTE ATA/430/2022 del 26 aprile 2022</w:t>
      </w:r>
    </w:p>
    <w:p>
      <w:pPr>
        <w:pStyle w:val="Heading2"/>
      </w:pPr>
      <w:r>
        <w:t>Erwägungen</w:t>
      </w:r>
    </w:p>
    <w:p>
      <w:r>
        <w:rPr>
          <w:b/>
        </w:rPr>
        <w:t>E. 12</w:t>
      </w:r>
    </w:p>
    <w:p>
      <w:r>
        <w:t>septembre 1985 - LPA - E 5 10). 2)</w:t>
      </w:r>
    </w:p>
    <w:p>
      <w:r>
        <w:t>En premier lieu, les recourants se plaignent de ce que le TAPI a retenu qu’ils n’avaient pas transmis à l’OCPM la procuration établie par leurs soins en faveur du SIT, auquel les décisions du 2 décembre 2020 auraient dû être notifiées.</w:t>
      </w:r>
    </w:p>
    <w:p>
      <w:r>
        <w:t>Le TAPI a considéré que bien que l’OCPM eût été informé du mandat de représentation conféré par les recourants au SIT, cela n’impliquait pas que les précités avaient fait élection de domicile auprès du SIT. Ils n'avaient en particulier pas démontré qu'ils avaient remis à l'OCPM des procurations en faveur du SIT avec élection de domicile auprès de ce syndicat. Le TAPI a toutefois retenu que les particularités du cas d’espèce, notamment du prononcé d’une décision de refus de soumettre le cas des recourants au SEM avec un préavis positif en vue de la délivrance d’un titre de séjour pour cas de rigueur ultérieurement au prononcé de la décision de renvoi, de la jonction des deux causes et du résultat auquel il parviendrait, la question de la recevabilité du premier recours pouvait rester indécise et que celui-ci était considéré comme recevable au sens de l’art. 62 LPA.</w:t>
      </w:r>
    </w:p>
    <w:p>
      <w:r>
        <w:t>Bien que la formulation choisie par le TAPI, indiquant qu’il laissait la question de la recevabilité du premier recours indécise tout en l’admettant, recèle une certaine contradiction, le dispositif qui déclare le recours dirigé contre la décision du 2 décembre 2019 recevable est clair.</w:t>
      </w:r>
    </w:p>
    <w:p>
      <w:r>
        <w:t>Dans ces circonstances, les recourants qui ont conclu à la recevabilité de leur recours formé le 5 novembre 2020 contre la décision du 2 décembre 2019 ont</w:t>
      </w:r>
    </w:p>
    <w:p>
      <w:r>
        <w:t>- 11/20 - A/3584/2020 obtenu, sur ce point, gain de cause. Ils n’ont donc pas d’intérêt à contester un point de fait du jugement, qui ne les prétérite pas. 3)</w:t>
      </w:r>
    </w:p>
    <w:p>
      <w:r>
        <w:t>Ils soutiennent remplir les critères d’un cas de rigueur.</w:t>
      </w:r>
    </w:p>
    <w:p>
      <w:r>
        <w:t>a.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w:t>
      </w:r>
    </w:p>
    <w:p>
      <w:r>
        <w:t>- 12/20 - A/3584/2020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Par ailleurs, la situation des membres de la famille ne doit pas être considérée isolément, mais en relation avec le contexte familial global, dès lors que le sort de la famille forme un tout (ATF 123 II 125 consid. 4a ; ATA/1181/2015 du 3 novembre 2015 et les références citées). Les enfants mineurs au bénéfice d'autorisations d'établissement ou de séjour partagent, du point de vue du droit des étrangers, le sort des parents qui en ont la garde (arrêts du Tribunal fédéral 2C_529/2020 du 6 octobre 2020 consid. 5.3 ; 2C_257/2020 du 18 mai 2020 consid. 6.1 et les références). Afin de tenir compte de la situation spécifique des familles, une présence de cinq ans en Suisse doit être retenue comme valeur indicative (Directive LEI, ch. 5.6.10.4).</w:t>
      </w:r>
    </w:p>
    <w:p>
      <w:r>
        <w:t>e.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F- 3493/2017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- 13/20 - A/3584/2020</w:t>
      </w:r>
    </w:p>
    <w:p>
      <w:r>
        <w:t>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w:t>
      </w:r>
    </w:p>
    <w:p>
      <w:r>
        <w:t>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w:t>
      </w:r>
    </w:p>
    <w:p>
      <w:r>
        <w:t>f.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pas déterminantes (ATF 137 II 1 consid. 4.3 ; 134 II 10 consid. 4.3).</w:t>
      </w:r>
    </w:p>
    <w:p>
      <w:r>
        <w:t>- 14/20 - A/3584/2020</w:t>
      </w:r>
    </w:p>
    <w:p>
      <w:r>
        <w:t>g.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t>h. En l’espèce, la durée de séjour des recourants en Suisse n’est pas très longue. Le mari a allégué y être arrivé le 22 juin 2017. L’épouse et les trois enfants sont arrivés à Genève le 22 août 2018. La famille réunie séjourne ainsi depuis un peu plus de quatre ans en Suisse. Cette durée, outre qu’elle ne peut être qualifiée de longue, doit par ailleurs être relativisée, dès lors qu’elle a été intégralement effectuée dans l’illégalité et que les recourants ne sauraient tirer profit du fait d’avoir mis les autorités devant le fait accompli.</w:t>
      </w:r>
    </w:p>
    <w:p>
      <w:r>
        <w:t>La famille est, certes, indépendante financièrement, n’a pas émargé à l’assistance publique, ni fait l’objet de poursuites pour dettes et les parents fournissent des efforts d’apprentissage de la langue française, comme en témoignent les inscriptions aux cours de français. Ils ne peuvent, pour autant, se prévaloir d’une intégration exceptionnelle au sens de la jurisprudence. L’activité professionnelle du recourant, notamment dans le domaine de la construction et de la peinture en bâtiment, ne dénote pas une ascension professionnelle remarquable. Il en va de même de l’activité, récente, de la recourante dans le nettoyage. En outre, aucun des époux n’a acquis en Suisse des connaissances ou des qualifications si spécifiques qu'il ne pourrait mettre à profit au Brésil. Par ailleurs, les époux n’allèguent pas non plus s’être engagés dans la vie associative, culturelle ou sportive à Genève. Leur intégration socio-professionnelle ne présente donc pas de caractère exceptionnel.</w:t>
      </w:r>
    </w:p>
    <w:p>
      <w:r>
        <w:t>C______ a fréquenté, durant l’année scolaire 2018-2019, une classe de 8P et une classe d’accueil, dans le cadre d’une double scolarisation, durant l’année scolaire 2020-2021, une classe d’accueil du cycle d’orientation de O______ et désormais la 11P auprès du même établissement. D______ a bénéficié d’une double scolarisation (avec une classe d’accueil) durant deux ans, fréquenté une classe de 7P au sein de l’enseignement spécialisé et est désormais en 8P. Enfin, E______ est scolarisé, depuis l’année scolaire 2018-2019, d’abord en enseignement spécialisé et depuis septembre 2021 en 5P. Les trois enfants ont donc bénéficié, durant les trois premières années scolaires passées en Suisse, de l’enseignement obligatoire spécialisé genevois. Les trois ans et demi passés dans le système scolaire genevois ne permettent ainsi pas de retenir qu’ils se seraient d’ores et déjà engagés dans une formation professionnelle. Leur intégration scolaire peut, certes, être qualifiée de bonne, mais ne témoigne pas d'une ascension remarquable. En revanche, ils pourront tirer profit des connaissances acquises à Genève, notamment de la langue française, en cas de retour au Brésil.</w:t>
      </w:r>
    </w:p>
    <w:p>
      <w:r>
        <w:t>- 15/20 - A/3584/2020</w:t>
      </w:r>
    </w:p>
    <w:p>
      <w:r>
        <w:t>Compte tenu de leur relatif jeune âge, ils se sont nécessairement constitué un cercle d’amis. C______ semble, en outre, montrer du talent pour le football, sport qu’il pratique avec succès. Arrivé en Suisse à l’âge de 12 ans, il y a passé bientôt près de quatre ans, à une période importante de sa vie. Un retour au Brésil constituerait ainsi pour lui un important changement. Il n’en demeure pas moins qu’il a passé au Brésil la majeure partie de sa vie, notamment toute son enfance, période déterminante pour le développement personnel et scolaire. D______ et E______ sont arrivés en Suisse à l’âge de 8 ans, respectivement 5 ans et demi. Au vu de leur âge actuel (11 ans et demi et 9 ans), ils ont passé le début de leur enfance et D______ la plus grande partie de sa vie au Brésil, pays avec lequel ils conservent, notamment au travers de leurs parents, de fortes attaches culturelles et affectives.</w:t>
      </w:r>
    </w:p>
    <w:p>
      <w:r>
        <w:t>Le recourant et son épouse, tous deux arrivés en Suisse à l’âge de 28 ans, ont passé toute leur enfance, leur adolescence et le début de leur vie d’adulte dans leur pays d'origine, dont ils parlent la langue et connaissent les us et coutumes. Le recourant a indiqué qu’il était peintre et maçon de formation et son épouse manucure de formation. Par ailleurs, le recourant a déclaré que sa mère et ses frères vivaient au Brésil, et la recourante a indiqué que tous les membres de leur famille vivaient au Brésil. Elle a précisé que les recourants entretenaient des contacts réguliers avec leur famille restée au Brésil. Ainsi, vu le temps passé dans leur pays où ils ont acquis une formation, la durée du séjour en Suisse, les attaches familiales conservées au Brésil, le bon état de santé et le relatif jeune âge des recourants ainsi que l’expérience professionnelle acquise en Suisse qu’ils pourront mettre à profit au Brésil, leur réintégration ne paraît pas gravement compromise. Vu l’âge des deux enfants cadets, ils restent attachés dans une large mesure à leurs parents et devraient être à même de se réintégrer dans leur pays d’origine en compagnie de ces derniers. C______ , dont le sort ne peut être dissocié de celui de ses parents et frères, risque de traverser une phase de réadaptation plus difficile, compte tenu de son âge et du temps passé en Suisse. Cette difficulté ne saurait toutefois, contrairement à ce que soutiennent les recourants, justifier que l’analyse de la situation de la famille se réduise à celle de C______ . Par ailleurs, le jeune homme sera dans sa réintégration accompagné par ses parents et ses frères, avec qui il vit actuellement, et retrouvera au Brésil sa parenté. Dans ces circonstances, sa réintégration ne paraît pas non plus gravement compromise.</w:t>
      </w:r>
    </w:p>
    <w:p>
      <w:r>
        <w:t>En outre, les recourants n’exposent ni ne démontrent qu’ils seraient davantage exposés à la situation économique et sanitaire du Brésil que leurs compatriotes restés au pays.</w:t>
      </w:r>
    </w:p>
    <w:p>
      <w:r>
        <w:t>Enfin et comme l’a relevé le TAPI, les recourants en venant vivre en Suisse alors qu’ils étaient démunis de tout titre de séjour et en y scolarisant leurs enfants, ne pouvaient ignorer que l’ensemble des membres de la famille pourraient être</w:t>
      </w:r>
    </w:p>
    <w:p>
      <w:r>
        <w:t>- 16/20 - A/3584/2020 amenés à devoir quitter ce pays, avec toutes les conséquences qui en découlent pour le développement de ces derniers.</w:t>
      </w:r>
    </w:p>
    <w:p>
      <w:r>
        <w:t>Au vu de l’ensemble de ces éléments, l’OCPM n’a pas violé la loi ni abusé de son pouvoir d’appréciation en retenant que les recourants ne remplissaient pas les conditions restrictives permettant l’octroi d’une autorisation de séjour pour cas de rigueur.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b. En l'espèce, dès lors qu'il a, à juste titre, refusé l’octroi d’une autorisation de séjour aux recourants, l'intimé devait prononcer leur renvoi. Pour le surplus, aucun motif ne permet de retenir que leur renvoi ne serait pas possible, licite ou ne pourrait raisonnablement être exigé.</w:t>
      </w:r>
    </w:p>
    <w:p>
      <w:r>
        <w:t>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w:t>
      </w:r>
    </w:p>
    <w:p>
      <w:r>
        <w:t>Mal fondé, le recours sera rejeté.</w:t>
      </w:r>
    </w:p>
    <w:p>
      <w:r>
        <w:t>Le présent arrêt rend sans objet la requête de restitution d’effet suspensif. 5)</w:t>
      </w:r>
    </w:p>
    <w:p>
      <w:r>
        <w:t>Vu l’issue du litige, l’émolument de CHF 550.- sera mis à la charge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