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ATA/430/2011 vom 30. Juni 2011</w:t>
      </w:r>
    </w:p>
    <w:p>
      <w:r>
        <w:t>GE Cour de justice, 2011-06-30, FR</w:t>
      </w:r>
    </w:p>
    <w:p>
      <w:r>
        <w:rPr>
          <w:b/>
        </w:rPr>
        <w:t xml:space="preserve">Quelle: </w:t>
      </w:r>
      <w:r>
        <w:t>https://mcp.opencaselaw.ch/entscheid/ge_gerichte_ATA_430_2011</w:t>
      </w:r>
    </w:p>
    <w:p>
      <w:r>
        <w:t>FR: GE_GERICHTE ATA/430/2011 du 30 juin 2011</w:t>
      </w:r>
    </w:p>
    <w:p>
      <w:r>
        <w:t>IT: GE_GERICHTE ATA/430/2011 del 30 giugno 2011</w:t>
      </w:r>
    </w:p>
    <w:p>
      <w:pPr>
        <w:pStyle w:val="Heading2"/>
      </w:pPr>
      <w:r>
        <w:t>Erwägungen</w:t>
      </w:r>
    </w:p>
    <w:p>
      <w:r>
        <w:rPr>
          <w:b/>
        </w:rPr>
        <w:t>E. 1</w:t>
      </w:r>
    </w:p>
    <w:p>
      <w:r>
        <w:t>Interjeté le 20 juin 2011 contre le jugement du TAPI, prononcé et notifié le 9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intervenue le 22 juin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aux conditions de l’art. 76 al. 1 let. a ou b LEtr si des éléments concrets font craindre qu’il entende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w:t>
      </w:r>
    </w:p>
    <w:p>
      <w:r>
        <w:t>- 6/8 - A/1702/2011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t>En l’espèce, les conditions rappelées ci-dessus sont manifestement remplies. Le recourant fait l’objet d’une décision de renvoi de Suisse exécutoire. A aucun moment il n’a entrepris la moindre démarche pour organiser son départ. Dans un premier temps, il a déclaré à l’OCP qu’il ne voulait pas rentrer (entretien du 26 avril 2010). Par la suite, il s’est déclaré d’accord de rentrer dans son pays sans pour autant entreprendre la moindre démarche pour ce faire (entretiens des 24 janvier et 18 avril 2011). Enfin, il a refusé d’embarquer sur le vol de ligne à destination de Dakar le 6 juin 2011.</w:t>
      </w:r>
    </w:p>
    <w:p>
      <w:r>
        <w:t>Par son comportement, le recourant a démontré qu’il n’entendait pas se soumettre à la décision de police des étrangers prise à son encontre et que dès lors il existait un risque de fuite. Dans ces circonstances les conditions d’application des art. 76 al. 1 let. b ch. 3 et 4 LEtr sont réalisées, qui fondent le maintien en détention du recourant.</w:t>
      </w:r>
    </w:p>
    <w:p>
      <w:r>
        <w:rPr>
          <w:b/>
        </w:rPr>
        <w:t>E. 5</w:t>
      </w:r>
    </w:p>
    <w:p>
      <w:r>
        <w:t>A teneur de l’art. 80 al. 6 LEtr, la détention doit être levée lorsque l’exécution du renvoi s’avère impossible pour des raisons juridiques ou matérielles ou qu’il ne peut être raisonnablement exigé. Cette disposition légale renvoie aux conditions de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w:t>
      </w:r>
    </w:p>
    <w:p>
      <w:r>
        <w:t>- 7/8 - A/1702/2011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w:t>
      </w:r>
    </w:p>
    <w:p>
      <w:r>
        <w:t>En l’espèce, aucun élément ne permet de considérer que le renvoi sur le Sénégal ne peut pas être exécuté.</w:t>
      </w:r>
    </w:p>
    <w:p>
      <w:r>
        <w:rPr>
          <w:b/>
        </w:rPr>
        <w:t>E. 6</w:t>
      </w:r>
    </w:p>
    <w:p>
      <w:r>
        <w:t>Les démarches nécessaires à l’exécution du renvoi ou l’expulsion doivent être entreprises sans tarder (art. 76 al. 4 LEtr). En outre, la durée de la détention administrative doit respecter le principe de la proportionnalité, garanti par l’art. 36 de la Constitution fédérale de la Confédération suisse du 18 avril 1999 (Cst. - RS-101). En l’espèce, ces règles ont été respectées.</w:t>
      </w:r>
    </w:p>
    <w:p>
      <w:r>
        <w:t>Les démarches permettant l’exécution du renvoi sont en cours. La mise en détention administrative du recourant procède de son refus de monter dans le vol qui devait le ramener à Dakar le 6 juin 2011. Les explications de l’OCP en relation avec l’organisation d’un vol spécial sont plausibles et il est fort possible - pour autant que des éléments tel que le ramadan ne l’empêche pas - qu’un vol spécial puisse être organisé avant celui qui est d’ores et déjà planifié pour le mois de septembre 2011.</w:t>
      </w:r>
    </w:p>
    <w:p>
      <w:r>
        <w:rPr>
          <w:b/>
        </w:rPr>
        <w:t>E. 7</w:t>
      </w:r>
    </w:p>
    <w:p>
      <w:r>
        <w:t>Au vu de ce qui précède, le recours sera rejeté. 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