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ATA/42/2024 vom 16. Januar 2024</w:t>
      </w:r>
    </w:p>
    <w:p>
      <w:r>
        <w:t>GE Cour de justice, 2024-01-16, FR</w:t>
      </w:r>
    </w:p>
    <w:p>
      <w:r>
        <w:rPr>
          <w:b/>
        </w:rPr>
        <w:t xml:space="preserve">Quelle: </w:t>
      </w:r>
      <w:r>
        <w:t>https://mcp.opencaselaw.ch/entscheid/ge_gerichte_ATA_42_2024</w:t>
      </w:r>
    </w:p>
    <w:p>
      <w:r>
        <w:t>FR: GE_GERICHTE ATA/42/2024 du 16 janvier 2024</w:t>
      </w:r>
    </w:p>
    <w:p>
      <w:r>
        <w:t>IT: GE_GERICHTE ATA/42/2024 del 16 gennaio 2024</w:t>
      </w:r>
    </w:p>
    <w:p>
      <w:pPr>
        <w:pStyle w:val="Heading2"/>
      </w:pPr>
      <w:r>
        <w:t>Regeste</w:t>
      </w:r>
    </w:p>
    <w:p>
      <w:r>
        <w:t>Résumé: Examen de la conformité au droit du licenciement d'un employé en période probatoire prononcé par une commune. Pas de violation de droit d'être entendu du recourant, ni sous l'aspect de son droit à une décision motivée, ni sous celui de son droit à consulter le dossier. La résiliation des rapports de service repose sur une insuffisance de prestations. Les allégations du recourant quant à l’existence d’un congé-représailles, formulées pour la première fois dans son acte de recours, ne sont étayées par aucune pièce du dossier.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11 al. 6 du règlement du personnel communal, entré en vigueur le 1er janvier 2021), sous réserve des conclusions en tort moral pour lesquelles la chambre administrative n’est pas compétente (art. 7 al. 1 de la loi sur la responsabilité de l’État et des communes du 24 février 1989 - LREC - A 2 40).</w:t>
      </w:r>
    </w:p>
    <w:p>
      <w:r>
        <w:rPr>
          <w:b/>
        </w:rPr>
        <w:t>E. 2</w:t>
      </w:r>
    </w:p>
    <w:p>
      <w:r>
        <w:t>Dans un grief d’ordre formel qu’il convient de traiter en premier lieu, le recourant invoque une violation de son droit d’être entendu.</w:t>
      </w:r>
    </w:p>
    <w:p>
      <w:r>
        <w:rPr>
          <w:b/>
        </w:rPr>
        <w:t>E. 2.1</w:t>
      </w:r>
    </w:p>
    <w:p>
      <w:r>
        <w:t>Le droit d’être entendu, garanti à l’art. 29 al. 2 de la Constitution fédérale de la Confédération suisse du 18 avril 1999 (Cst. - RS 101), comprend notamment le droit pour la personne concernée de s’expliquer avant qu’une décision ne soit prise à son détriment et celui d’avoir accès au dossier. En tant que droit de participation, le droit d’être entendu englobe donc tous les droits qui doivent être</w:t>
      </w:r>
    </w:p>
    <w:p>
      <w:r>
        <w:t>- 7/14 -</w:t>
      </w:r>
    </w:p>
    <w:p>
      <w:r>
        <w:t>A/1955/2023 attribués à une partie pour qu’elle puisse faire valoir efficacement son point de vue dans une procédure (ATF 148 II 73 consid. 7.3.1 ; 132 II 485 consid. 3.2 ; 129 II 497 consid. 2.2 ; arrêt du Tribunal fédéral 2C_700/2022 du 28 novembre 2022 consid. 3 et les références). Le droit d’être entendu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être implicite et résulter des différents considérants de la décision (ATF 141 V 557 consid. 3.2.1 ; arrêt du Tribunal fédéral 1C_586/2021 du 20 avril 2022 consid. 2.1). Dès lors que l’on peut discerner les motifs qui ont guidé la décision, le droit à une décision motivée est respecté, même si la motivation présentée est erronée (arrêt du Tribunal fédéral 4A.25/2007 du 25 mai 2007 consid. 3 ; ATA/1235/2018 du 20 novembre 2018 consid. 6a). La jurisprudence admet de manière générale le renvoi au contenu d’entretiens avec la hiérarchie (ATA/1275/2022 du 20 décembre 2022 consid. 2e ; ATA/418/2022 du 26 avril 2022 consid. 2b) s’agissant des motifs de licenciement.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w:t>
      </w:r>
    </w:p>
    <w:p>
      <w:r>
        <w:t>- 8/14 -</w:t>
      </w:r>
    </w:p>
    <w:p>
      <w:r>
        <w:t>A/1955/2023 allongement inutile de la procédure (ATF 142 II 218 consid. 2.8.1 ; 137 I 195 consid. 2.3.2).</w:t>
      </w:r>
    </w:p>
    <w:p>
      <w:r>
        <w:rPr>
          <w:b/>
        </w:rPr>
        <w:t>E. 2.2</w:t>
      </w:r>
    </w:p>
    <w:p>
      <w:r>
        <w:t>En l’occurrence, l’intimée n’a indiqué aucune raison justifiant son intention de résilier les rapports de service dans son premier courrier du 12 avril 2023, puis s’est limitée à mentionner qu’elle n’était pas satisfaite des prestations du recourant dans sa lettre du 27 avril 2023. Elle a repris cette succincte explication dans la décision litigieuse du 11 mai 2023, quand bien même l’intéressé avait déploré qu’il ne comprenait pas les motifs de son congé. Cela étant, il convient également de rappeler que le recourant a travaillé moins de cinq mois au service de l’intimée, puisqu’il a été en incapacité totale de travail à partir du 16 mars 2023. Durant cette brève période, ses responsables hiérarchiques ont mené un entretien d’évaluation et ont alors émis plusieurs critiques, dument consignées dans le formulaire y relatif que l’intéressé a signé. En outre, le service des ressources humaines a dû lui rappeler à réitérées reprises la procédure à suivre en cas d’incapacité de travail, allant jusqu’à le prévenir qu’une procédure pour abandon de poste serait initiée s’il ne se conformait pas à la règlementation applicable. Enfin, le secrétaire général lui a reproché d’exercer des activités privées pendant ses heures de travail et l’a enjoint de changer d’attitude. Compte tenu de ces manquements, tant professionnels que personnels, une évaluation intermédiaire était prévue à brève échéance. Ainsi, le recourant connaissait la nature concrète des reproches de l’intimée et pouvait se déterminer à leur sujet. S’agissant de la consultation du dossier, il est exact que l’intimée n’a pas précisé au recourant qu’il pouvait solliciter un rendez-vous pour en prendre connaissance. Toutefois, le recourant était en possession de tous les éléments pertinents, en particulier du formulaire d’entretien qu’il avait signé et des courriels dont il était le destinataire. De surcroît, il a été en mesure de faire valoir ses arguments en cours de procédure contentieuse aussi efficacement qu’il aurait dû pouvoir le faire avant le prononcé de la décision litigieuse. Le grief de violation du droit d’être entendu sera ainsi écarté.</w:t>
      </w:r>
    </w:p>
    <w:p>
      <w:r>
        <w:rPr>
          <w:b/>
        </w:rPr>
        <w:t>E. 2.2.2</w:t>
      </w:r>
    </w:p>
    <w:p>
      <w:r>
        <w:t>; 4A_99/2012 du 30 avril 2012 consid. 2.2.1 et les arrêts cités). La chambre de céans a déjà retenu que l’envoi d’un courriel aux collaborateurs d’un cadre afin de les informer de son licenciement, contenant comme explications qu’il était responsable de graves dysfonctionnements, portait atteinte à sa personnalité. De plus, l’intimée évoquait l’existence d’un conflit d’intérêts entre l’emploi du recourant et ses activités accessoires, alors que ce motif n’avait finalement pas été retenu. Toutefois, bien que ce courriel fût inutile et inconvenant, il ne constituait pas une atteinte à la personnalité du recourant suffisamment grave pour rendre le licenciement abusif, au regard de l’ensemble des circonstances particulières (ATA/1807/2019 du 17 décembre 2019 consid. 15 confirmé par arrêt du Tribunal fédéral 8C_104/2020 du 12 janvier 2021).</w:t>
      </w:r>
    </w:p>
    <w:p>
      <w:r>
        <w:rPr>
          <w:b/>
        </w:rPr>
        <w:t>E. 3</w:t>
      </w:r>
    </w:p>
    <w:p>
      <w:r>
        <w:t>Le recourant a conclu préalablement à la levée du secret de fonction.</w:t>
      </w:r>
    </w:p>
    <w:p>
      <w:r>
        <w:rPr>
          <w:b/>
        </w:rPr>
        <w:t>E. 3.1</w:t>
      </w:r>
    </w:p>
    <w:p>
      <w:r>
        <w:t>Les rapports de service du recourant sont régis par le règlement du personnel communal, lequel prévoit à son art. 18 que les collaboratrices et les collaborateurs de l’intimée sont tenus au secret de fonction. Le Conseil administratif de l’intimée est compétent pour se prononcer sur les demandes de levée dudit secret émanant des membres de son personnel (cf. art. 48 de la loi sur l’administration des communes du 13 avril 1984 [LAC - B 6 05]).</w:t>
      </w:r>
    </w:p>
    <w:p>
      <w:r>
        <w:t>- 9/14 -</w:t>
      </w:r>
    </w:p>
    <w:p>
      <w:r>
        <w:t>A/1955/2023</w:t>
      </w:r>
    </w:p>
    <w:p>
      <w:r>
        <w:rPr>
          <w:b/>
        </w:rPr>
        <w:t>E. 3.2</w:t>
      </w:r>
    </w:p>
    <w:p>
      <w:r>
        <w:t>Le recourant ne soutient pas avoir demandé en vain à l’autorité compétente de le délier du secret de fonction, qui n’est en outre pas l’objet de la décision attaquée, de sorte que sa conclusion préalable est irrecevable.</w:t>
      </w:r>
    </w:p>
    <w:p>
      <w:r>
        <w:rPr>
          <w:b/>
        </w:rPr>
        <w:t>E. 4</w:t>
      </w:r>
    </w:p>
    <w:p>
      <w:r>
        <w:t>Le recourant conteste le bien-fondé de son licenciement, qu’il qualifie d’abusif.</w:t>
      </w:r>
    </w:p>
    <w:p>
      <w:r>
        <w:rPr>
          <w:b/>
        </w:rPr>
        <w:t>E. 4.1</w:t>
      </w:r>
    </w:p>
    <w:p>
      <w:r>
        <w:t>L’art. 4 du règlement du personnel prévoit que les relations de travail entre un membre du personnel communal et la commune sont régies par le contrat individuel de travail (let. a), le cahier des charges (let. b), le présent règlement (let. c), les directives internes (let. d) et, pour le surplus, par les art. 319 ss de la loi fédérale du 30 mars 1911 complétant le Code civil suisse (CO, Code des obligations - RS 220), applicables à titre de droit public supplétif (let. e). À teneur de l’art. 6 al. 1 du règlement, le temps d’essai pour les contrats à durée indéterminée est de trois mois pour tous les collaborateurs. Conformément à l’art. 7 du règlement, les membres du personnel sont en outre soumis à une période probatoire de deux ans qui débute dès l’engagement et comprend le temps d’essai précité (al. 1). Pendant la période probatoire, les rapports de travail peuvent être librement résiliés de part et d’autre conformément aux délais prévus à l’art. 10 (al. 6). Selon l’art. 10 al. 3 let. a du règlement, après le temps d’essai, le contrat de travail peut être résilié par l’une ou l’autre des parties pour la fin d’un mois avec un délai de congé d’un mois pendant la première année de service. Selon l’art. 336 al. 1 let. d CO, le congé est abusif lorsqu’il est donné par une partie parce que l’autre partie fait valoir de bonne foi des prétentions résultant de son contrat de travail.</w:t>
      </w:r>
    </w:p>
    <w:p>
      <w:r>
        <w:rPr>
          <w:b/>
        </w:rPr>
        <w:t>E. 4.2</w:t>
      </w:r>
    </w:p>
    <w:p>
      <w:r>
        <w:t>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w:t>
      </w:r>
    </w:p>
    <w:p>
      <w:r>
        <w:t>- 10/14 -</w:t>
      </w:r>
    </w:p>
    <w:p>
      <w:r>
        <w:t>A/1955/2023 consid. 2.3 ; 8C_182/2013 du 7 novembre 2013 consid. 2.2 et les références citées).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(arrêt du Tribunal fédéral 8C_182/2013 du</w:t>
      </w:r>
    </w:p>
    <w:p>
      <w:r>
        <w:rPr>
          <w:b/>
        </w:rPr>
        <w:t>E. 4.3</w:t>
      </w:r>
    </w:p>
    <w:p>
      <w:r>
        <w:t>Aux termes de l’art. 336 al. 1 let.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(ATF 136 III 513 consid. 2.4 ; arrêt du Tribunal fédéral 4A_3/2023 du 30 août 2023 consid. 4.1). La manière dont le congé est donné peut aussi le faire apparaître comme abusif. Même lorsque le motif de la résiliation est en soi légitime, celui qui exerce son droit de mettre fin au contrat doit agir avec des égards. Si l’employeur porte une</w:t>
      </w:r>
    </w:p>
    <w:p>
      <w:r>
        <w:t>- 11/14 -</w:t>
      </w:r>
    </w:p>
    <w:p>
      <w:r>
        <w:t>A/1955/2023 grave atteinte aux droits de la personnalité du travailleur dans le contexte d’une résiliation, celle-ci doit être considérée comme abusive; un comportement simplement inconvenant ne suffit cependant pas (ATF 132 III 115 consid. 2.2 et 2.3; 131 III 535 consid. 4.2 ; arrêt du Tribunal fédéral 4A_3/2023 du 30 août 2023 consid. 4.2). Il s’agit donc d’un cas de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(arrêts du Tribunal fédéral 4A_3/2023 du 30 août 2023 consid. 4.2 ; 4A_485/2016 du 28 avril 2017 consid.</w:t>
      </w:r>
    </w:p>
    <w:p>
      <w:r>
        <w:rPr>
          <w:b/>
        </w:rPr>
        <w:t>E. 4.4</w:t>
      </w:r>
    </w:p>
    <w:p>
      <w:r>
        <w:t>En l’espèce, les allégations du recourant en lien avec un congé-représailles ont été formulées pour la première fois dans son acte de recours et elles ne sont étayées par aucune pièce du dossier. En l’état, rien ne permet de retenir que l’intéressé aurait fait valoir de bonne foi des revendications en lien avec son contrat de travail, qu’il aurait dénoncé de graves dysfonctionnements au Conseil administratif de l’intimée, ou qu’il se serait plaint des méthodes de travail de son supérieur hiérarchique. Qui plus est, le recourant a indiqué dans son courriel du 16 mars 2023, soit juste après son altercation avec D______, qu’il ne souffrait pas d’une maladie grave et espérait pouvoir reprendre rapidement son travail, sans la moindre allusion à la situation insupportable qu’il décrit dans le cadre de la présente procédure et qu’il impute à son chef de service.</w:t>
      </w:r>
    </w:p>
    <w:p>
      <w:r>
        <w:t>- 12/14 -</w:t>
      </w:r>
    </w:p>
    <w:p>
      <w:r>
        <w:t>A/1955/2023 De plus, contrairement à ce que soutient le recourant, l’intimée lui a fait plusieurs reproches concernant la qualité de ses prestations et son comportement. Ainsi, le formulaire relatif à l’entretien d’évaluation et de développement des compétences du 17 janvier 2023 relève l’existence de nombreuses erreurs dans la rédaction de documents officiels, une connaissance insuffisante des « outils police », un manque d’initiative. Le recourant était invité à établir des priorités, à diversifier les sujets traités et à veiller aux respects des délais. Si le prononcé d’un avertissement ne saurait être retenu, dès lors que les sanctions disciplinaires doivent faire l’objet d’une décision notifiée par écrit (cf. art. 32 al. 1 let. a et 33 al. 3 du règlement), les pièces produites attestent néanmoins que le secrétaire général a convoqué le recourant pour lui enjoindre de cesser toute activité privée pendant son service et corriger son attitude générale. Une évaluation intermédiaire était d’ores et déjà prévue. Enfin, le service des ressources humaines a également dû demander au recourant de se conformer à ses obligations en cas d’absence, puisque le collaborateur a omis à plusieurs reprises d’informer immédiatement son responsable et de transmettre ses certificats médicaux. L’intimée était donc fondée à se séparer du recourant, lequel était en période probatoire et ne répondait pas à ses attentes. Le délai de congé d’un mois pour la fin d’un mois a été respecté, ce qui n’est au demeurant pas remis en cause. En outre, le licenciement n’est pas intervenu en temps inopportun, ce que le recourant ne conteste pas, dès lors que celui-ci se trouvait dans sa première année de service et que le congé a été prononcé plus de 30 jours après le début de l’incapacité de travail, étant encore relevé que le règlement applicable ne prévoit pas de dérogation à l’art. 336c al. 1 let. b CO. Enfin, s’agissant de la procédure de résiliation, l’intimée a indiqué le 12 juin 2023 sur le site « F______ » que les rapports de service du recourant prendraient fin le 30 juin 2023. Cette publication n’était visible que par le personnel de l’intimée et ne mentionne aucun détail, en particulier les raisons ayant conduit l’intimée à rendre la décision litigieuse. Aucun élément du dossier ne vient confirmer les affirmations du recourant, selon lesquelles D______ aurait annoncé à plusieurs personnes son licenciement avant que la décision ne soit prononcée. Partant, aucune violation du droit à la protection de la personnalité ne saurait être retenue. À toutes fins utiles, il sera encore observé que l’intimée n’était pas tenue de mettre en œuvre la médiation évoquée dans le rapport médical demandé par l’assureur perte de gain, alors que la procédure de résiliation avait déjà été entamée et que le recourant avait produit un certificat médical attestant d’une totale incapacité de travail jusqu’à l’échéance du délai de congé. Enfin, il ne saurait être reproché à l’intimée d’avoir sollicité la restitution du matériel dont le</w:t>
      </w:r>
    </w:p>
    <w:p>
      <w:r>
        <w:t>- 13/14 -</w:t>
      </w:r>
    </w:p>
    <w:p>
      <w:r>
        <w:t>A/1955/2023 recourant ne pouvait plus se servir, compte tenu de son arrêt de travail et du caractère exécutoire nonobstant recours de la décision de licenciement. Entièrement mal fondé, le recours sera rejeté. 5. Vu l’issue du litige, un émolument de CHF 1'500.- sera mis à la charge du recourant (art. 87 al. 1 LPA). Il sera alloué à la commune intimée, qui y a conclu et qui compte moins de 10'000 habitants (ATA/1223/2021 du 16 novembre 2021 ; ATA/792/2022 du 9 août 2022), une indemnité de procédure de CHF 1'000.-, à la charge du recourant (art. 87 al. 2 LPA). Compte tenu des conclusions du recours, la valeur litigieuse est supérieure à CHF 15'000.- (art. 112 al. 1 let. d de la loi fédérale sur le Tribunal fédéral du 17 juin 2005 - LTF - RS 173.110).</w:t>
      </w:r>
    </w:p>
    <w:p>
      <w:r>
        <w:rPr>
          <w:b/>
        </w:rPr>
        <w:t>E. 7</w:t>
      </w:r>
    </w:p>
    <w:p>
      <w:r>
        <w:t>novembre 2013 consid. 2.2).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(ATA/398/2019 du 9 avril 2019 consid. 6b ; ATA/408/2017 du 11 avril 2017 ; ATA/32/2017 du 17 janvier 2017 et les références citées).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(ATA/398/2019 précité consid. 6b ; ATA/1071/2016 du 20 décembre 2016 ; ATA/408/2017 précité ; ATA/590/2016 du 12 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