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ATA/429/2023 vom 25. April 2023</w:t>
      </w:r>
    </w:p>
    <w:p>
      <w:r>
        <w:t>GE Cour de justice, 2023-04-25, FR</w:t>
      </w:r>
    </w:p>
    <w:p>
      <w:r>
        <w:rPr>
          <w:b/>
        </w:rPr>
        <w:t xml:space="preserve">Quelle: </w:t>
      </w:r>
      <w:r>
        <w:t>https://mcp.opencaselaw.ch/entscheid/ge_gerichte_ATA_429_2023</w:t>
      </w:r>
    </w:p>
    <w:p>
      <w:r>
        <w:t>FR: GE_GERICHTE ATA/429/2023 du 25 avril 2023</w:t>
      </w:r>
    </w:p>
    <w:p>
      <w:r>
        <w:t>IT: GE_GERICHTE ATA/429/2023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préalablement son audition. Dans son recours, il évoque la possibilité d’entendre éventuellement des témoins.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Cela n'implique pas une audition personnelle de l'intéressé, celui-ci devant simplement disposer d'une occasion de se déterminer sur les éléments propres à influer sur l'issue de la cause (art. 41 LPA ; ATF 140 I 68 consid. 9.6). 2.2. En l’espèce, d’une part, le recourant a pu s’exprimer par écrit tant devant l’OCPM, le TAPI que la chambre de céans et produire toutes pièces utiles. D’autre part, il n’expose pas quelles informations supplémentaires, utiles à la solution du litige, son audition pourrait apporter qu’il n’aurait pas pu développer par écrit. Il n’a par ailleurs pas de droit à être entendu oralement par la chambre de céans.</w:t>
      </w:r>
    </w:p>
    <w:p>
      <w:r>
        <w:t>- 5/12 - A/976/2022 Le recourant semblait évoquer dans son recours la possibilité d’entendre son ancienne amie et un représentant de « l’épicerie C______ ». Il sollicitait un délai complémentaire pour fournir des attestations. Dans le cadre de sa réplique, il a produit trois témoignages écrits, lesquels n’indiquent pas provenir de l’amie de l’époque ni d’une personne en lien avec l’épicerie. Dans ses dernières écritures, le recourant ne fait plus mention d’une telle audition. Il ne sera en conséquence pas donné suite à sa requête. 3. Le recourant se plaint d’une violation des art. 30 al. 1 let. b de la loi fédérale sur les étrangers et l'intégration du 16 décembre 2005 (LEI - RS 142.20) et 31 de l’ordonnance relative à l'admission, au séjour et à l'exercice d'une activité lucrative du 24 octobre 2007 (OASA - RS 142.201). 3.1 Le 1er janvier 2019 est entrée en vigueur une modification de la LEI et de l’OASA. Conformément à l'art. 126 al. 1 LEI, les demandes déposées, comme en l'espèce, après le 1er janvier 2019 sont régies par le nouveau droit (arrêt du Tribunal fédéral 2C_1075/2019 du 21 avril 2020 consid. 1.1). 3.2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3.3 Les dispositions dérogatoires des art. 30 LEI et 31 OASA présentent un caractère exceptionnel, et les conditions pour la reconnaissance d'une telle situation doivent être appréciées de manière restrictive (ATF 128 II 200</w:t>
      </w:r>
    </w:p>
    <w:p>
      <w:r>
        <w:t>- 6/12 - A/976/2022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3.4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ATAF 2007/45 consid. 4.4 et 6.3 ; 2007/44 consid. 5.2). 3.5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t>- 7/12 - A/976/2022 4. Dans le cadre de l'analyse des critères selon l'art. 30 al. 1 let. b LEI, l'intégration du requérant sur la base des critères d’intégration de l’art. 58a al. 1 LEI (let. a) ne peut être considérée comme favorable. Si certes, il indique être indépendant financièrement, il a, à plusieurs reprises, pris un emploi sans y être autorisé. Son intégration professionnelle ne saurait être qualifiée d’exceptionnelle au sens de la jurisprudence. Ses connaissances professionnelles acquises, notamment comme serveur, vendeur dans un kiosque, dans le domaine du déménagement puis comme aide-monteur échafaudeur n'apparaissent, en outre, pas spécifiques à la Suisse ; le recourant ne fournit en tout cas aucune pièce ou explication qui permettrait de retenir que tel serait le cas. Il indique « bien » parler le français, ce que les attestations de ses proches confirment. Le recourant n'établit pas qu'il aurait tissé des liens amicaux et affectifs à Genève d'une intensité telle qu'il ne pourrait être exigé de sa part de poursuivre ses contacts par les moyens de télécommunication modernes. Il n'allègue pas non plus qu'il se serait investi dans la vie sociale, associative ou culturelle à Genève. Il produit des attestations de proches, notamment de membres de sa famille. Toutefois, les relations de travail, d'amitié, de voisinage que l'étranger noue durant son séjour en Suisse ne constituent pas, à elles seules, des circonstances de nature à justifier un cas de rigueur (arrêts du Tribunal administratif fédéral [ci-après : TAF] F-3168/2015 du 6 août 2018 consid. 8.5.2 ; F-643/2016 du 24 juillet 2017 consid. 5.2.3) et les attestations de membres de sa famille ont une valeur probante moindre.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La condition du respect de l'ordre juridique suisse lui est défavorable. Il est venu illégalement en Suisse et y a travaillé sans y être autorisé. Pour le surplus, il a été condamné pour séjour illégal par ordonnances pénales du MP des 6 juillet 2016 et 1er février 2017 et jugement du TP du 17 mai 2022. Il a fait l'objet d'une interdiction d’entrée, valable du 6 octobre 2015 au 5 octobre 2018, qui a été prolongée jusqu’au 21 mai 2020. Une nouvelle IES a été prononcée à son encontre le 29 juin 2021, encore en vigueur. Il a fait fi de ces trois décisions et est revenu en Suisse après avoir fait l’objet d’un renvoi Dublin vers la France. Au vu de ces comportements, le recourant ne saurait se prévaloir d’une intégration réussie. Au contraire, son attitude dénote un certain mépris pour le respect de l’ordre et de la sécurité publics suisses et, partant, une intégration qui ne saurait être qualifiée de réussie. L'indépendance économique est un aspect en principe attendu de tout étranger désireux de s'établir durablement en Suisse et ne constitue pas un élément extraordinaire en sa faveur (arrêts du Tribunal fédéral</w:t>
      </w:r>
    </w:p>
    <w:p>
      <w:r>
        <w:t>- 8/12 - A/976/2022 2C_779/2016 du 13 septembre 2016 consid. 4.2 ; 2C_789/2014 du 20 février 2015 consid. 2.2.2). Parmi les autres critères, il ne peut tirer argument du critère de la situation familiale (let. c), n'ayant aucun enfant en âge de scolarisation en Suisse. Sa volonté de prendre part à la vie économique est avérée (let. d). Il ressort du dossier des incohérences dans ses déclarations, notamment quant à la date de son arrivée en Suisse, l’intéressé ayant mentionné 2009 et 2014. Toutefois, même à le suivre et à retenir qu’il serait arrivé en Suisse en 2009, l’issue du litige serait identique. Selon ses déclarations du 4 juillet 2016, il avait indiqué n’être en Suisse que depuis deux jours à l’adresse de son demi-frère. Il souhaitait retourner en France « mais cela est impossible ». Le 19 décembre 2016, il déclarait habiter avec son frère cadet en France. L’ordonnance pénale du 1er février 2017 indique qu’il avait affirmé être domicilié dans un foyer, dont l’adresse est précisée, à Saint-Etienne en France, être sans revenus et n’avoir aucune attache avec la Suisse. Il conteste la véracité de ces propos indiquant avoir eu peur des conséquences. Il sera toutefois relevé que les trois interpellations ont été effectuées au passage de la frontière, accréditant un séjour en France. De surcroît, si les attestations d’anciens clients du kiosque où il indique avoir été employé confirment qu’il y a travaillé, le fait de l’y avoir régulièrement vu n’est pas de nature à prouver sa présence continue en Suisse entre 2010 et 2015, à l’instar des huit localisations dans la région, entre 2013 et 2017. L’extrait du compte individuel AVS ne contient que des cotisations postérieures à septembre 2017. Le décompte des Transports publics genevois atteste de l’achat d’abonnements pour trois mois en 2017, trois en 2016, trois en 2015, trois en 2012 sept en 2011 et deux en 2010. Il ressort ainsi des pièces versées à la procédure que, si certes le recourant s’est trouvé en Suisse depuis 2010 ponctuellement, il ne parvient pas à démontrer sa présence pendant plusieurs mois, voire années, notamment entre 2010 et 2017, singulièrement 2013 et 2014. En conséquence la durée de son séjour (let. e) ne pourrait pas être considérée comme longue au sens de la jurisprudence. Elle doit être fortement relativisée dès lors qu'il est venu illégalement en Suisse et que sa présence ne fait l'objet que d'une simple tolérance depuis le dépôt de sa demande datée du 4 octobre 2021. Son état de santé ne justifie pas sa présence en Suisse (let. f). L'intéressé est jeune (32 ans le 13 juin 2023), en parfaite santé et apte à travailler. Dans ces circonstances, il n'apparaît pas que sa réintégration soit fortement compromise ni qu’un départ de Suisse constituerait un déracinement. S'agissant des possibilités de réintégration dans l'État de provenance (let. g), les compétences acquises en Suisse tant en français que dans le domaine professionnel pourront être mises en valeur au Kosovo. Si le recourant séjourne en Suisse depuis 2009, il a passé, son enfance, adolescence et le début de sa vie</w:t>
      </w:r>
    </w:p>
    <w:p>
      <w:r>
        <w:t>- 9/12 - A/976/2022 d'adulte au Kosovo, y compris, le début de son activité professionnelle à raison de « petits boulots » selon ses dires, soit les périodes déterminantes pour le développement de la personnalité. Il y a vécu jusqu'à 18 ans. Il connaît les us et coutumes de son pays d'origine et en maîtrise la langue. Il y a de la famille, à savoir, selon ses déclarations, ses parents et une demi-sœur. Les difficultés liées à une réinsertion sont inhérentes à tout départ du territoire suisse du fait que la personne concernée n’en remplit pas les conditions de séjour. Sa situation n'est en tous cas pas si rigoureuse qu'on ne saurait exiger son retour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sa faveur auprès du SEM.</w:t>
      </w:r>
    </w:p>
    <w:p>
      <w:r>
        <w:rPr>
          <w:b/>
        </w:rPr>
        <w:t>E. 5</w:t>
      </w:r>
    </w:p>
    <w:p>
      <w:r>
        <w:t>Le recourant conteste son renvoi de Suisse.</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rPr>
          <w:b/>
        </w:rPr>
        <w:t>E. 5.2</w:t>
      </w:r>
    </w:p>
    <w:p>
      <w:r>
        <w:t>En l’espèce, rien ne permet de retenir que l'exécution du renvoi du recourant ne serait pas possible, licite ou raisonnement exigible. Comme déjà relevé, sa situation n'est en tout cas pas si rigoureuse qu'on ne saurait exiger son retour au Kosovo. Mal fondé, le recours sera rejeté.</w:t>
      </w:r>
    </w:p>
    <w:p>
      <w:r>
        <w:rPr>
          <w:b/>
        </w:rPr>
        <w:t>E. 6</w:t>
      </w:r>
    </w:p>
    <w:p>
      <w:r>
        <w:t>Vu l'issue du recours, un émolument de CHF 400.- sera mis à la charge du recourant qui succombe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