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ATA/427/2026 vom 5. Mai 2026</w:t>
      </w:r>
    </w:p>
    <w:p>
      <w:r>
        <w:t>GE Cour de justice, 2026-05-05, FR</w:t>
      </w:r>
    </w:p>
    <w:p>
      <w:r>
        <w:rPr>
          <w:b/>
        </w:rPr>
        <w:t xml:space="preserve">Quelle: </w:t>
      </w:r>
      <w:r>
        <w:t>https://mcp.opencaselaw.ch/entscheid/ge_gerichte_ATA_427_2026</w:t>
      </w:r>
    </w:p>
    <w:p>
      <w:r>
        <w:t>FR: GE_GERICHTE ATA/427/2026 du 5 mai 2026</w:t>
      </w:r>
    </w:p>
    <w:p>
      <w:r>
        <w:t>IT: GE_GERICHTE ATA/427/2026 del 5 maggio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sollicitent à titre préalable leur audition.</w:t>
      </w:r>
    </w:p>
    <w:p>
      <w:r>
        <w:t>- 5/14 - A/3287/2024</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2.2</w:t>
      </w:r>
    </w:p>
    <w:p>
      <w:r>
        <w:t>En l’occurrence, les recourants ont eu à cinq reprises (une fois devant l’OCPM, deux fois devant le TAPI et à nouveau deux fois dans la présente procédure de recours) l’occasion de faire valoir leur argumentation et de produire toutes les pièces qu’ils estimaient utiles. Ils n’exposent pas quels éléments nouveaux, qu’ils n’auraient pu invoquer auparavant par écrit, leur audition serait susceptible d’apporter, ni en quoi elle serait de nature à renforcer la force probante de leurs allégations et des éléments de preuve déjà produits. La chambre de céans dispose en outre d’un dossier complet, comprenant notamment le dossier de l’OCPM, lui permettant de se prononcer sur les griefs soulevés et de trancher le litige en connaissance de cause. Il ne sera dès lors pas donné lieu à la demande d’audition.</w:t>
      </w:r>
    </w:p>
    <w:p>
      <w:r>
        <w:rPr>
          <w:b/>
        </w:rPr>
        <w:t>E. 3</w:t>
      </w:r>
    </w:p>
    <w:p>
      <w:r>
        <w:t>Les recourants reprochent au TAPI d’avoir violé leur droit d’être entendus en ne donnant pas suite à leur demande d’être entendus. Comme rappelé au considérant précédent, le droit d’être entendu, tel que garanti par l’art. 29 al. 2 Cst., ne leur conférait cependant aucun droit à une audition orale, ni du reste à celle de témoins (ATF 140 I 285 consid. 6.3.1). Ils ne contestent pas pour le surplus avoir eu par deux fois l’occasion de s’exprimer devant le TAPI et de produire les pièces qu’ils estimaient utiles, et n’expliquent pas pour quelle raison ils n’auraient pu exposer dans leurs écritures de recours et de réplique devant le TAPI les éléments de fait sur lesquels, selon eux, ils auraient dû être interrogés de vive voix, soit leur intégration en Suisse, leur motivation et les raisons pour lesquelles ils estiment leur réintégration dans leur pays d’origine impossible. On ne voit pas non plus en quoi la crédibilité de leurs allégations sur ces points aurait été renforcée par leur audition. Le TAPI n’a donc pas violé leur droit d’être entendus en renonçant à leur audition au bénéfice d’une appréciation anticipée des preuves. Le grief doit être rejeté.</w:t>
      </w:r>
    </w:p>
    <w:p>
      <w:r>
        <w:rPr>
          <w:b/>
        </w:rPr>
        <w:t>E. 4</w:t>
      </w:r>
    </w:p>
    <w:p>
      <w:r>
        <w:t>Le litige a pour objet le refus de l’OCPM de présenter la demande des recourants au SEM avec un préavis favorable et le prononcé de leur renvoi de Suisse.</w:t>
      </w:r>
    </w:p>
    <w:p>
      <w:r>
        <w:rPr>
          <w:b/>
        </w:rPr>
        <w:t>E. 4.1</w:t>
      </w:r>
    </w:p>
    <w:p>
      <w:r>
        <w:t>Selon l’art. 61 al. 1 LPA, le recours peut être formé pour violation du droit, y compris l’excès et l’abus du pouvoir d’appréciation (let. a), ou pour constatation inexacte ou incomplète des faits pertinents (let. b). La chambre administrative ne connaît en revanche pas de l’opportunité des décisions prises en matière de police</w:t>
      </w:r>
    </w:p>
    <w:p>
      <w:r>
        <w:t>- 6/14 - A/3287/2024 des étrangers, dès lors qu’il ne s’agit pas d’une mesure de contrainte (al. 2 ; art. 10 al. 2 de la loi d’application de la loi fédérale sur les étrangers du 16 juin 1988 - LaLEtr - F 2 10, a contrario ; ATA/141/2025 du 4 février 2025 consid. 3.1 et l'arrêt cité).</w:t>
      </w:r>
    </w:p>
    <w:p>
      <w:r>
        <w:rPr>
          <w:b/>
        </w:rPr>
        <w:t>E. 4.2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4.3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w:t>
      </w:r>
    </w:p>
    <w:p>
      <w:r>
        <w:t>- 7/14 - A/3287/2024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1er novembre 2022 consid. 5.4).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4.5</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4.7</w:t>
      </w:r>
    </w:p>
    <w:p>
      <w:r>
        <w:t>Dans l’examen d’un cas de rigueur concernant le renvoi d’une famille, il importe de prendre en considération la situation globale de celle-ci. Dans certaines</w:t>
      </w:r>
    </w:p>
    <w:p>
      <w:r>
        <w:t>- 8/14 - A/3287/2024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2C_670/2020 du 28 décembre 2020 consid. 4.3 ; ATA/203/2018 du 6 mars 2018 consid. 9a). Sous l’angle du cas de rigueur, il est considéré que cette pratique différenciée réalise la prise en compte de l’intérêt supérieur de l’enfant, telle qu’elle est prescrite par l’art. 3 al. 1 CDE (arrêts du Tribunal fédéral 2A.679/2006 du 9 février 2007 consid. 3 et 2A.43/2006 du 31 mai 2006 consid. 3.1 ; ATA/1068/2024 du 10 septembre 2024 consid. 6.3).</w:t>
      </w:r>
    </w:p>
    <w:p>
      <w:r>
        <w:rPr>
          <w:b/>
        </w:rPr>
        <w:t>E. 4.8</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 ; arrêt du Tribunal fédéral 2C_516/2022 du 22 mars 2023 consid. 6.1). L’examen de la proportionnalité de la mesure, imposé par l’art. 96 LEI, se confond avec celui qui est prévu à l’art. 8 § 2 CEDH (ATF 139 I 31 consid. 2.3.2 ; 139 I 145 consid. 2.2).</w:t>
      </w:r>
    </w:p>
    <w:p>
      <w:r>
        <w:rPr>
          <w:b/>
        </w:rPr>
        <w:t>E. 4.9</w:t>
      </w:r>
    </w:p>
    <w:p>
      <w:r>
        <w:t>Dans toutes les décisions qui concernent les enfants, qu’elles soient le fait des institutions publiques ou privées de protection sociale, des tribunaux, des autorités</w:t>
      </w:r>
    </w:p>
    <w:p>
      <w:r>
        <w:t>- 9/14 - A/3287/2024 administratives ou des organes législatifs, l’intérêt supérieur de l’enfant doit être une considération primordiale (art. 3 al. 1 CDE). L'art. 3 CDE ne fait pas de l'intérêt supérieur de l'enfant un critère exclusif, mais un élément d'appréciation dont l'autorité doit tenir compte lorsqu'il s'agit de mettre en balance les différents intérêts en présence (ATF 144 I 91 consid. 5.2 ; 139 I 315 consid. 2.4 ; 136 I 297 consid. 8.2 ; arrêt du Tribunal fédéral 2C_429/2021 du 16 décembre 2021 consid. 4.2). Dans le cadre de l'examen de la proportionnalité de la mesure (art. 8 § 2 CEDH, art. 96 LEI et art. 13 cum art. 36 Cst.), il faut aussi tenir compte de l'intérêt fondamental de l'enfant (art. 3 CDE),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w:t>
      </w:r>
    </w:p>
    <w:p>
      <w:r>
        <w:rPr>
          <w:b/>
        </w:rPr>
        <w:t>E. 4.10</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op. cit.,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ATA/1368/2025 du 9 décembre 2025 consid. 5.3).</w:t>
      </w:r>
    </w:p>
    <w:p>
      <w:r>
        <w:rPr>
          <w:b/>
        </w:rPr>
        <w:t>E. 4.11</w:t>
      </w:r>
    </w:p>
    <w:p>
      <w:r>
        <w:t>Dans le cas d’espèce, les recourants peuvent se prévaloir d’une longue durée de séjour en Suisse, puisqu’il résulte du dossier, notamment des attestations TPG qu’ils ont produites, qu’ils y résident, respectivement, depuis dix ans environ pour l’époux et depuis plus de neuf ans pour l’épouse. Jusqu’en mai 2024, ce séjour s’est toutefois déroulé dans l’illégalité, et depuis lors par tolérance, de telle sorte que sa durée n’est pas déterminante.</w:t>
      </w:r>
    </w:p>
    <w:p>
      <w:r>
        <w:t>- 10/14 - A/3287/2024 Même si les efforts qu’ils ont déployés en ce sens sont méritoires, l’intégration socio-professionnelle des recourants en Suisse ne saurait pour sa part être qualifiée d’exceptionnelle. S’ils affirment s’être créé un large cercle d’amis, ce fait n’est pas surprenant au vu de la longue durée de leur séjour dans notre pays. Ils n’allèguent pour le surplus pas s’être investis dans des associations ou d’autres organismes caritatifs ou participant au développement de la vie sociale de la collectivité. La naissance de leur fille en 2022 peut être interprété comme un signe de leur attachement à la Suisse mais, vu son âge et le fait qu’elle n’est pas encore scolarisée, ne constitue guère un élément d’intégration supplémentaire. La relative maîtrise de la langue française dont justifient les recourants ne peut être considérée comme remarquable au vu de la durée de leur séjour. Le fait de ne pas avoir accumulé de dettes et de ne pas avoir été condamnés correspond pour le surplus au comportement normalement attendu de tout étranger résidant en Suisse et souhaitant s’y intégrer. Les recourants ne peuvent pas non plus se prévaloir d’une réussite professionnelle remarquable. Leurs activités dans le secteur de l’économie domestique ou de l’entretien paraissent certes leur permettre de subvenir à leurs besoins, en particulier de se loger, mais ne représentent pas une réussite professionnelle remarquable au sens de la jurisprudence. Il ne peut en particulier être considéré qu’ils auraient acquis en Suisse des connaissances professionnelles si spécifiques qu’ils ne pourraient plus les mettre en œuvre dans leur pays d’origine. Contrairement à ce qu’ils soutiennent, il n’apparaît pas qu’un retour au Brésil, où ils ont passé leur enfance, leur adolescence et la première partie de leur vie d’adulte, serait pour eux la cause de difficultés de réintégration insurmontables. Encore jeunes et en bonne santé, ils auront la possibilité, après une période de réadaptation, d’y trouver un emploi, et plus généralement d’y participer à la vie économique, de la même manière que leurs compatriotes, les connaissances, notamment linguistiques, qu’ils ont acquises en Suisse constituant de ce point de vue un avantage. Comme l’a retenu le premier juge sans que les recourants ne le contestent dans leur recours, ils possèdent en outre vraisemblablement encore des membres de leur famille au Brésil, qui pourront leur apporter de l’aide en vue de leur réintégration. Âgée de trois ans et non encore scolarisée, leur fille C______ dépend encore entièrement de ses parents et, par leur intermédiaire, est attachée à leur pays d’origine, dont elle parle vraisemblablement la langue. Après une période initiale sans doute difficile, elle ne devrait donc pas connaître de difficultés particulières pour s’intégrer. Pour le surplus, et même s’ils expliquent avoir quitté le Brésil en raison de la situation d’insécurité y régnant, les recourants n’indiquent pas concrètement à quels risques pour leur santé un retour dans leur pays d’origine les exposerait effectivement. La page Internet « Conseils aux voyageurs » du Département fédéral des affaires étrangères (https://www.eda.admin.ch/ countries/brazil/fr/home/conseils-pour-les-voyages/conseils-sur-place.html#eda 129cf9, consultée le 22 avril 2026) précise à cet égard que les voyages au Brésil sont en principe considérés comme sûrs, quand bien même le taux de criminalité, surtout dans les villes et certaines régions, y est décrit comme « très élevé ». S’il ne</w:t>
      </w:r>
    </w:p>
    <w:p>
      <w:r>
        <w:t>- 11/14 - A/3287/2024 peut ainsi être contesté que les conditions sécuritaires ne sont pas aussi bonnes au Brésil qu’en Suisse, cet élément, en l’absence de tout risque concret allégué et rendu vraisemblable, ne suffit pas pour retenir qu’une réintégration des recourants et de leur fille dans leur pays d’origine ne serait pas possible. Les recourants ne peuvent tirer argument de l’art. 8 CEDH, sous l’angle de la protection de leur vie privée. Leur séjour en Suisse s’est en effet essentiellement déroulé dans l’illégalité, de telle sorte qu’il n’est pas déterminant pour l’application de cette disposition. Une exception à l’exigence d’un séjour légale n’entre par ailleurs pas en considération en l’espèce, puisque pour les motifs exposés ci-dessus, ils ne peuvent se prévaloir de l’existence de liens sociaux et professionnels spécialement intenses avec la Suisse, notablement supérieurs à ceux qui résultent d’une intégration ordinaire. Enfin, l’art. 3 CDE ne confère aucun droit à l’octroi d’une autorisation de séjour. L’intérêt supérieur de l’enfant C______ a pour sa part été dûment pris en considération, avec les autres éléments d’appréciation pertinents, dans l’examen de la proportionnalité de la décision litigieuse. C’est donc sans abus de son pouvoir d’appréciation que l’OCPM a refusé d’accorder aux recourants une autorisation de séjour pour cas de rigueur.</w:t>
      </w:r>
    </w:p>
    <w:p>
      <w:r>
        <w:rPr>
          <w:b/>
        </w:rPr>
        <w:t>E. 4.12</w:t>
      </w:r>
    </w:p>
    <w:p>
      <w:r>
        <w:t>L’argument des recourants selon lequel leur renvoi au Brésil ne serait pas exigible doit lui aussi être écarté. Comme relevé ci-dessus, il ne peut être considéré que le Brésil serait en proie à une situation de guerre, de guerre civile ou de violence généralisée au sens de l’art. 83 al. 4 et 5 LEI, étant souligné que la chambre administrative a déjà eu l’occasion à plusieurs reprises (p. ex. ATA/841/2025 consid. 5.8 du 5 août 2025 ; ATA/404/2021 consid. 9b du 13 avril 2021) de confirmer des décisions de renvoi dans ce pays. Les recourants pour leur part n’allèguent ni ne rendent vraisemblable aucun élément factuel précis de nature à fonder l’existence d’un risque concret pour leur intégrité ou celle de leur fille. C’est donc à juste titre que l’OCPM, qui ne disposait à cet égard d’aucune marge de manœuvre, a prononcé le renvoi des recourants, ce qui emporte le rejet de leur conclusion subsidiaire tendant à ce que leur admission provisoire soit proposée au SEM (art. 83 al. 1 LEI).</w:t>
      </w:r>
    </w:p>
    <w:p>
      <w:r>
        <w:rPr>
          <w:b/>
        </w:rPr>
        <w:t>E. 5</w:t>
      </w:r>
    </w:p>
    <w:p>
      <w:r>
        <w:t>Vu l'issue du litige, un émolument de CHF 400.- sera mis à la charge solidaire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