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ATA/427/2021 vom 20. April 2021</w:t>
      </w:r>
    </w:p>
    <w:p>
      <w:r>
        <w:t>GE Cour de justice, 2021-04-20, FR</w:t>
      </w:r>
    </w:p>
    <w:p>
      <w:r>
        <w:rPr>
          <w:b/>
        </w:rPr>
        <w:t xml:space="preserve">Quelle: </w:t>
      </w:r>
      <w:r>
        <w:t>https://mcp.opencaselaw.ch/entscheid/ge_gerichte_ATA_427_2021</w:t>
      </w:r>
    </w:p>
    <w:p>
      <w:r>
        <w:t>FR: GE_GERICHTE ATA/427/2021 du 20 avril 2021</w:t>
      </w:r>
    </w:p>
    <w:p>
      <w:r>
        <w:t>IT: GE_GERICHTE ATA/427/2021 del 20 aprile 2021</w:t>
      </w:r>
    </w:p>
    <w:p>
      <w:pPr>
        <w:pStyle w:val="Heading2"/>
      </w:pPr>
      <w:r>
        <w:t>Regeste</w:t>
      </w:r>
    </w:p>
    <w:p>
      <w:r>
        <w:t>Résumé: Les parents d'élèves d'une école privée qui forment une dénonciation administrative auprès de l'autorité de surveillance des établissements privés ne disposent pas, en tant que dénonciateurs, de la qualité pour recourir contre une décision rendue par cette dernière. Même à considérer qu'ils disposeraient d'un intérêt digne de protection, ils ne sont pas dépourvus de moyens de préserver leurs intérêts, notamment en agissant par le biais de la voie civile ou pénale. Le recours est irrecevable.</w:t>
      </w:r>
    </w:p>
    <w:p>
      <w:pPr>
        <w:pStyle w:val="Heading2"/>
      </w:pPr>
      <w:r>
        <w:t>Erwägungen</w:t>
      </w:r>
    </w:p>
    <w:p>
      <w:r>
        <w:rPr>
          <w:b/>
        </w:rPr>
        <w:t>E. 12</w:t>
      </w:r>
    </w:p>
    <w:p>
      <w:r>
        <w:t>septembre 1985 - LPA - E 5 10).</w:t>
      </w:r>
    </w:p>
    <w:p>
      <w:r>
        <w:t>- 9/13 - A/4051/2020 2)</w:t>
      </w:r>
    </w:p>
    <w:p>
      <w:r>
        <w:t>Dans le canton de Genève, les établissements privés contribuent à l’offre de formation. La loi en règle l’autorisation et la surveillance (art. 199 de la Constitution de la République et canton de Genève du 14 octobre 2012 (Cst-GE - A 2 00). L'art. 43 al. 1 de la loi sur l'instruction publique du 17 septembre 2015 (LIP - C 1 10) précise que le département vérifie en tout temps que l'instruction obligatoire dans les écoles privées ou à domicile est conforme aux dispositions légales et réglementaires. 3)</w:t>
      </w:r>
    </w:p>
    <w:p>
      <w:r>
        <w:t>L'appelée en cause conclut à l'irrecevabilité du recours au motif que les recourants ne disposeraient pas d'un intérêt à recourir, dès lors qu'ils ne seraient pas destinataires de la décision attaquée et que leurs filles ont désormais quitté l'établissement concerné.</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et les références citées).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t>d.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 La condition de l'intérêt actuel fait</w:t>
      </w:r>
    </w:p>
    <w:p>
      <w:r>
        <w:t>- 10/13 - A/4051/2020 défaut en particulier lorsque, notamment, la décision attaquée a été exécutée et a sorti tous ses effets (ATF 125 I 394 consid. 4).</w:t>
      </w:r>
    </w:p>
    <w:p>
      <w:r>
        <w:t>e.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 donne pas droit à obtenir une décision, ni celui d'être entendu, de consulter le dossier ou d'exiger des mesures d'instruction (Thierry TANQUEREL, Manuel de droit administratif, 2ème éd., 2018, n. 1448 p. 497).</w:t>
      </w:r>
    </w:p>
    <w:p>
      <w:r>
        <w:t>Par conséquent, dans une procédure non contentieuse, la seule qualité de plaignant ou de dénonciateur ne donne pas le droit de recourir contre la décision prise. Pour jouir de la qualité pour recourir, le plaignant ou le dénonciateur doit non seulement se trouver dans un rapport étroit et spécial avec la situation litigieuse, mais doit encore pouvoir invoquer un intérêt digne de protection à ce que l'autorité de surveillance intervienne (ATF135 II 145 consid. 6.1 ; 133 II 468 consid. 2).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références citées).</w:t>
      </w:r>
    </w:p>
    <w:p>
      <w:r>
        <w:t>f. En l'espèce, les recourants ont rapporté à l'autorité intimée des situations problématiques auxquelles auraient été confrontées leurs filles au sein de l'école privée dans laquelle elles étaient scolarisées. Ils ont sollicité l'ouverture d'une instruction pour déterminer si la direction de l'établissement avait réagi de manière appropriée, à savoir si celle-ci avait respecté ses obligations légales et réglementaires relatives à l'enseignement privé dans le cadre de la prise en charge et de la gestion desdites situations. Dans ces circonstances, la démarche des recourants doit être considérée comme une dénonciation administrative d'une problématique auprès de l'autorité de surveillance des écoles privées ; la qualité de dénonciateurs doit ainsi leur être reconnue.</w:t>
      </w:r>
    </w:p>
    <w:p>
      <w:r>
        <w:t>- 11/13 - A/4051/2020</w:t>
      </w:r>
    </w:p>
    <w:p>
      <w:r>
        <w:t>Partant, bien que l'autorité intimée leur ait adressé sa décision entrant en matière sur la dénonciation et constatant que l'école avait respecté les obligations précitées, les recourants qui sont dénonciateurs ne peuvent pas, conformément à la jurisprudence constante précitée, se voir reconnaître la qualité de partie à la procédure ni les droits y relatifs.</w:t>
      </w:r>
    </w:p>
    <w:p>
      <w:r>
        <w:t>Par ailleurs, même à considérer que les recourants disposeraient d'un intérêt digne de protection consistant à établir l'existence d'une atteinte à la personnalité de leurs filles, respectivement la responsabilité des différents acteurs concernés par la situation, il s'avère qu'ils ne sont pas dépourvus de moyens de défense et disposent, en vertu du contrat de droit privé qui les lie à l'établissement scolaire concerné, d'autres moyens de préserver leurs intérêts, notamment par la voie d'une action en responsabilité civile, voire, s'ils s'y estiment fondés, d'une procédure pénale à l'encontre des auteurs des faits allégués dans leur dénonciation.</w:t>
      </w:r>
    </w:p>
    <w:p>
      <w:r>
        <w:t>Les recourants ne disposent ainsi pas de la qualité pour recourir. Le recours sera en conséquence déclaré irrecevable. 4)</w:t>
      </w:r>
    </w:p>
    <w:p>
      <w:r>
        <w:t>L'appelée en cause conclut à ce qu'une obligation de garder le secret soit imposée aux parties sur les informations confidentielles, notamment concernant les enfants, auxquelles elles auraient accès dans le cadre de la procédure, sans limitation dans le temps.</w:t>
      </w:r>
    </w:p>
    <w:p>
      <w:r>
        <w:t>a. Selon l'art. 20A LPA, les juridictions administratives peuvent obliger tous les participants à la procédure, ainsi que le conseil juridique, le mandataire professionnellement qualifié ou la personne de confiance à garder le secret sur les informations auxquelles ils ont eu accès dans le cadre de la procédure, lorsque la manifestation de la vérité ou la protection d’un autre intérêt public ou privé prépondérant l’exigent. Elles le font sous la commination de la peine prévue à l’article 292 du code pénal suisse, du 21 décembre 1937. Cette obligation doit, en principe, être limitée dans le temps.</w:t>
      </w:r>
    </w:p>
    <w:p>
      <w:r>
        <w:t>b. En l'espèce, certains éléments du dossier se rapportent à des enfants mineurs et notamment à leur sphère privée. Dans ces circonstances particulières et dès lors que la limitation dans le temps de l'obligation de garder le secret n'est, à rigueur du texte légal, pas absolue, il y a lieu d'admettre que les mineurs ont un intérêt privé à ce que tous les éléments à même de les identifier, notamment leur identité (nom, prénom, date de naissance), ainsi que celle de tous les intervenants et le nom de l’établissement scolaire concernés, restent confidentiels. Ainsi, l’obligation de garder le secret, imposée aux parties et à leurs conseils par décision du 3 février 2021, ne sera exceptionnellement pas limitée dans le temps au vu, principalement, de la nature des faits dénoncés par les recourants et que ceux-ci concernent des enfants qui étaient alors mineurs.</w:t>
      </w:r>
    </w:p>
    <w:p>
      <w:r>
        <w:t>- 12/13 - A/4051/2020 5)</w:t>
      </w:r>
    </w:p>
    <w:p>
      <w:r>
        <w:t>Vu l'issue du litige, un émolument de CHF 400.- sera mis à la charge solidaire des recourants (art. 87 al. 1 LPA). Une indemnité de procédure de CHF 400.- sera allouée à l'appelée en cause,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