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ATA/427/2011 vom 28. Juni 2011</w:t>
      </w:r>
    </w:p>
    <w:p>
      <w:r>
        <w:t>GE Cour de justice, 2011-06-28, FR</w:t>
      </w:r>
    </w:p>
    <w:p>
      <w:r>
        <w:rPr>
          <w:b/>
        </w:rPr>
        <w:t xml:space="preserve">Quelle: </w:t>
      </w:r>
      <w:r>
        <w:t>https://mcp.opencaselaw.ch/entscheid/ge_gerichte_ATA_427_2011</w:t>
      </w:r>
    </w:p>
    <w:p>
      <w:r>
        <w:t>FR: GE_GERICHTE ATA/427/2011 du 28 juin 2011</w:t>
      </w:r>
    </w:p>
    <w:p>
      <w:r>
        <w:t>IT: GE_GERICHTE ATA/427/2011 del 28 giugno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l’art. 80 de la loi sur la procédure administrative du 12 septembre 1985 (LPA - E 5 10), il y a lieu à révision lorsque, dans une affaire réglée par une décision définitive, il apparaît : − qu’un crime ou un délit, établi par une procédure pénale ou d’une autre manière, a influencé la décision ; − que des faits ou des moyens de preuve nouveaux et importants existent, que le recourant ne pouvait connaître ou invoquer dans la procédure précédente ; − que, par inadvertance, la décision ne tient pas compte de faits invoqués et établis par pièce ; − que la juridiction n’a pas statué sur certaines conclusions des parties de manière à commettre un déni de justice formel ; − que la juridiction qui a statué n’était pas composée comme la loi l’ordonne ou que les dispositions sur la récusation ont été violées.</w:t>
      </w:r>
    </w:p>
    <w:p>
      <w:r>
        <w:t>La demande de révision doit être adressée par écrit à la juridiction qui a rendu la décision dans les trois mois dès la découverte du motif la justifiant.</w:t>
      </w:r>
    </w:p>
    <w:p>
      <w:r>
        <w:rPr>
          <w:b/>
        </w:rPr>
        <w:t>E. 2</w:t>
      </w:r>
    </w:p>
    <w:p>
      <w:r>
        <w:t>En l'espèce, les X______ ne font pas valoir de motif de révision. Ils se limitent à reprendre leurs conclusions initiales et ne soutiennent pas avoir versé l'avance de frais demandée à l'époque par la commission.</w:t>
      </w:r>
    </w:p>
    <w:p>
      <w:r>
        <w:rPr>
          <w:b/>
        </w:rPr>
        <w:t>E. 3</w:t>
      </w:r>
    </w:p>
    <w:p>
      <w:r>
        <w:t>Au vu de ce qui précède, la demande de révision sera dès lors déclarée irrecevable sans autre instruction (art. 72 LPA). Un émolument de procédure, en CHF 250.-, sera mis à la charge des recourants, pris conjointement et solidairement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