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ATA/427/2005 vom 14. Juni 2005</w:t>
      </w:r>
    </w:p>
    <w:p>
      <w:r>
        <w:t>GE Cour de justice, 2005-06-14, FR</w:t>
      </w:r>
    </w:p>
    <w:p>
      <w:r>
        <w:rPr>
          <w:b/>
        </w:rPr>
        <w:t xml:space="preserve">Quelle: </w:t>
      </w:r>
      <w:r>
        <w:t>https://mcp.opencaselaw.ch/entscheid/ge_gerichte_ATA_427_2005</w:t>
      </w:r>
    </w:p>
    <w:p>
      <w:r>
        <w:t>FR: GE_GERICHTE ATA/427/2005 du 14 juin 2005</w:t>
      </w:r>
    </w:p>
    <w:p>
      <w:r>
        <w:t>IT: GE_GERICHTE ATA/427/2005 del 14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LPA).</w:t>
      </w:r>
    </w:p>
    <w:p>
      <w:r>
        <w:rPr>
          <w:b/>
        </w:rPr>
        <w:t>E. 2</w:t>
      </w:r>
    </w:p>
    <w:p>
      <w:r>
        <w:t>Le 1er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les mesures ordonnées en vertu de l’ancien droit demeurant régies par</w:t>
      </w:r>
    </w:p>
    <w:p>
      <w:r>
        <w:t>- 4/5 - A/975/2004 ce dernier, sauf exceptions non réalisées en l’espèce. C’est donc la LCR dans sa teneur au 31 décembre 2004 qui s’applique au recourant (ATA/17/2005 du 11 janvier 2005).</w:t>
      </w:r>
    </w:p>
    <w:p>
      <w:r>
        <w:rPr>
          <w:b/>
        </w:rPr>
        <w:t>E. 3</w:t>
      </w:r>
    </w:p>
    <w:p>
      <w:r>
        <w:t>Les conducteurs doivent constamment rester maîtres de leur véhicule de façon à pouvoir se conformer aux devoirs de la prudence. La vitesse doit toujours être adaptée aux circonstances (art. 31 et 32 al. 1 LCR ; art. 3 al. 1 OCR ; ATF 104 IV 28 ; 105 IV 52 ; JdT 1981 I 471-472 ; P. GRAFF, La route et la circulation routière, N° 40, 1978 p. 423).</w:t>
      </w:r>
    </w:p>
    <w:p>
      <w:r>
        <w:t>En l’espèce, il est établi que M. Z__________ est tombé. Il n’est nullement prouvé que sa vitesse n’ait pas été adaptée aux conditions de la route puisqu’il a lui-même déclaré qu’il circulait à 30 ou 40 km/h, ce qui n’est pas contesté, et qu’à teneur même du rapport de police, les traces de mazout sur la chaussée n’étaient pas visibles de sorte que M. Z__________, conducteur et motard expérimenté, ne pouvait pas mieux adapter sa vitesse aux conditions de la route qu’il ne l’a fait.</w:t>
      </w:r>
    </w:p>
    <w:p>
      <w:r>
        <w:rPr>
          <w:b/>
        </w:rPr>
        <w:t>E. 4</w:t>
      </w:r>
    </w:p>
    <w:p>
      <w:r>
        <w:t>D’ailleurs, la contravention qui lui a été infligée a été classée le 26 mai 2005 sur ordre du Parquet. Aucune faute n’a donc été retenue à l’encontre du recourant.</w:t>
      </w:r>
    </w:p>
    <w:p>
      <w:r>
        <w:rPr>
          <w:b/>
        </w:rPr>
        <w:t>E. 5</w:t>
      </w:r>
    </w:p>
    <w:p>
      <w:r>
        <w:t>En conséquence, l’on ne saurait reprocher au recourant d’avoir compromis la sécurité de la route ni enfreint l’article 16 alinéa 2 LCR de sorte que l’avertissement prononcé à son encontre par l’intimé sera annulé.</w:t>
      </w:r>
    </w:p>
    <w:p>
      <w:r>
        <w:rPr>
          <w:b/>
        </w:rPr>
        <w:t>E. 6</w:t>
      </w:r>
    </w:p>
    <w:p>
      <w:r>
        <w:t>Vu l’issue du litige, il ne sera pas perçu d’émolument. Une indemnité de procédure de CHF 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