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ATA/426/2022 vom 26. April 2022</w:t>
      </w:r>
    </w:p>
    <w:p>
      <w:r>
        <w:t>GE Cour de justice, 2022-04-26, FR</w:t>
      </w:r>
    </w:p>
    <w:p>
      <w:r>
        <w:rPr>
          <w:b/>
        </w:rPr>
        <w:t xml:space="preserve">Quelle: </w:t>
      </w:r>
      <w:r>
        <w:t>https://mcp.opencaselaw.ch/entscheid/ge_gerichte_ATA_426_2022</w:t>
      </w:r>
    </w:p>
    <w:p>
      <w:r>
        <w:t>FR: GE_GERICHTE ATA/426/2022 du 26 avril 2022</w:t>
      </w:r>
    </w:p>
    <w:p>
      <w:r>
        <w:t>IT: GE_GERICHTE ATA/426/2022 del 26 aprile 2022</w:t>
      </w:r>
    </w:p>
    <w:p>
      <w:pPr>
        <w:pStyle w:val="Heading2"/>
      </w:pPr>
      <w:r>
        <w:t>Erwägungen</w:t>
      </w:r>
    </w:p>
    <w:p>
      <w:r>
        <w:rPr>
          <w:b/>
        </w:rPr>
        <w:t>E. 18</w:t>
      </w:r>
    </w:p>
    <w:p>
      <w:r>
        <w:t>mars 2011 - LChiens - M 3 45). 2)</w:t>
      </w:r>
    </w:p>
    <w:p>
      <w:r>
        <w:t>Le recourant sollicite une comparution personnelle des parties, l’audition de témoins et la production de l’entier du dossier du SCAV, non caviardé.</w:t>
      </w:r>
    </w:p>
    <w:p>
      <w:r>
        <w:t>- 7/11 - A/126/2022</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l’audition du recourant et des témoins n’est pas nécessaire au vu des pièces versées à la procédure. De même, le litige peut être tranché sans qu’il ne soit utile de rendre de décisions sur l’accès aux pièces non caviardées par le recourant, ces éléments n’étant pas déterminants pour l’issue du litige. La chambre estime être en possession d’un dossier suffisant et en état d’être jugé. Il ne sera pas donné suite aux requêtes préalables du recourant. 3) a. Selon l’art. 177 de la Constitution de la République et canton de Genève du 14 octobre 2012 (Cst - GE - A 2 00), les chiens dangereux ou issus de races dites d’attaque, ainsi que leurs croisements, sont interdits sur le territoire du canton. Cette interdiction est rappelée à l’art. 23 al. 1 LChiens, qui donne au Conseil d’État la compétence de dresser la liste des races concernées par voie réglementaire. Cette liste figure à l’art. 17 al. 2 du règlement d'application de la loi sur les chiens du 27 juillet 2011 (RChiens - M 3 45.01) et comprend notamment l’Am’staff (art. 17 al. 2 let. a RChiens).</w:t>
      </w:r>
    </w:p>
    <w:p>
      <w:r>
        <w:t>b. Aux termes de l’art. 39 LChiens, en cas d’infraction à la loi et en fonction de la gravité des faits, le service peut prononcer et notifier aux intéressés les mesures suivantes : l’obligation de suivre des cours d’éducation canine (let. a), l’obligation de tenir le chien en laisse (let. b), l’obligation du port de la muselière (let. c), la castration ou la stérilisation du chien (let. d), l’interdiction de mettre le chien en contact avec des enfants (let. e), l’interdiction de laisser le chien attaché seul et sans surveillance à l’extérieur du domicile de son détenteur (let. f), le séquestre provisoire ou définitif du chien (let. g), le refoulement du chien dont le détenteur n’est pas domicilié sur le territoire du canton (let. h), l’euthanasie du chien (let. i), le retrait de l’autorisation de détenir un chien (let. j), l’interdiction de pratiquer l’élevage (let. k), le retrait de l’autorisation de pratiquer le commerce de chiens ou l’élevage professionnel (let. l), le retrait de l’autorisation d’exercer l’activité de promeneur de chiens (let. m), la radiation temporaire ou définitive de la liste des éducateurs canins (let. n) et l’interdiction de détenir un chien (let. o).</w:t>
      </w:r>
    </w:p>
    <w:p>
      <w:r>
        <w:t>c. Dans l’exercice de ses compétences, le service doit, comme toute autorité administrative, doit respecter le principe de la proportionnalité. Exprimé à</w:t>
      </w:r>
    </w:p>
    <w:p>
      <w:r>
        <w:t>- 8/11 - A/126/2022 l’art. 5 al. 2 Cst., il commande que la mesure étatique soit nécessaire et apte à atteindre le but prévu et raisonnablement exigible de la part de la personne concernée (ATF 140 I 257 consid. 6.3.1). Traditionnellement, le principe de la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(ATA/820/2018 du 14 août 2018 et les références citées). 4)</w:t>
      </w:r>
    </w:p>
    <w:p>
      <w:r>
        <w:t>En l’espèce, il n’est pas contesté que le recourant est propriétaire de « B______ », née le ______ 2019, et de ses huit chiots, nés le ______ 2021, et que les chiens sont des Am’staff croisés, interdits sur le territoire du canton (art.</w:t>
      </w:r>
    </w:p>
    <w:p>
      <w:r>
        <w:rPr>
          <w:b/>
        </w:rPr>
        <w:t>E. 23</w:t>
      </w:r>
    </w:p>
    <w:p>
      <w:r>
        <w:t>al. 1 LChiens et 17 al. 2 let. à RChiens).</w:t>
      </w:r>
    </w:p>
    <w:p>
      <w:r>
        <w:t>Le recourant est domicilié à Genève, ce qu’il ne remet pas en cause. À ce titre, il n’est pas autorisé à détenir, à son domicile, des Am’staff croisés, ce qu’il ne conteste pas, à l’instar du fait qu’il a été informé de cette interdiction par courrier du SCAV du 9 octobre 2020.</w:t>
      </w:r>
    </w:p>
    <w:p>
      <w:r>
        <w:t>Le recourant allègue que « B______ » et ses chiots seraient arrivés à Genève le 8 décembre 2021, quelques heures avant l’intervention du SCAV, contraints de quitter la France compte tenu des travaux de peinture en cours dans leur lieu de résidence. Il fait par ailleurs mention de l’art. 12 RChiens qui traite des cas de séjour sur le territoire du canton. Toutefois, cette disposition évoque la dispense d’enregistrement du chien, de suivi des formations, du paiement de l’impôt et d’acquisition de la marque de contrôle. L’art. 12 RChiens est en conséquence sans incidence sur l’interdiction formelle, pour tous chiens mentionnés dans la liste de l’art. 17 al. 2 RChiens, de se trouver sur le territoire cantonal.</w:t>
      </w:r>
    </w:p>
    <w:p>
      <w:r>
        <w:t>Le prononcé d'une mesure est ainsi pleinement justifié, sans qu’il ne soit nécessaire d’établir si, comme le soutient le SCAV, se fondant notamment sur trois témoignages anonymisés, les chiens résidaient sur territoire genevois depuis plusieurs semaines.</w:t>
      </w:r>
    </w:p>
    <w:p>
      <w:r>
        <w:t>5) Se pose la question de savoir si la mesure prononcée par le SCAV respecte le principe de la proportionnalité.</w:t>
      </w:r>
    </w:p>
    <w:p>
      <w:r>
        <w:t>a. Le recourant propose qu’il lui soit donné acte de placer les canidés chez M. C______, au _______, dans les douze heures dès leur restitution.</w:t>
      </w:r>
    </w:p>
    <w:p>
      <w:r>
        <w:t>Une telle mesure ne fait pas partie de la liste arrêtée par le législateur cantonal à l'art. 39 al. 1 LChiens. Toutefois, le Tribunal fédéral a retenu que le</w:t>
      </w:r>
    </w:p>
    <w:p>
      <w:r>
        <w:t>- 9/11 - A/126/2022 principe de proportionnalité n'exclut pas de prendre une mesure qui ne serait pas prévue par le législateur, lorsque celle-ci est moins incisive que les mesures légales (arrêt du Tribunal fédéral 2C_1088/2018 du 13 mai 2019 consid. 3.2.3). Ainsi, la solution proposée, dans l’arrêt précité, par le détenteur de l'animal de se séparer de son chien en le ramenant dans son pays d’origine était moins incisive que celle ordonnée par le SCAV, puisqu'elle lui permettait de garder un contact avec son chien, lors de visites à celui-ci. Elle était apte à atteindre le but d’intérêt public visé et permettait de ménager aussi bien les intérêts du détenteur que ceux de la collectivité.</w:t>
      </w:r>
    </w:p>
    <w:p>
      <w:r>
        <w:t>En l’occurrence, le recourant propose une mesure qui lui permettrait de conserver des contacts avec ses chiens, notamment avec « B______ ». Il donne des indications précises sur le lieu où les chiens seraient placés, notamment l’adresse précise. La réalité de la proposition est confortée par le fait que le recourant produit de nombreuses attestations, de différentes personnes, confirmant le domicile effectif, bien que non officiel, en France, de M. C______. Ce dernier a par ailleurs déjà accueilli « B______ », ce que le SCAV ne conteste pas et que les nombreuses attestations confirment. Le contrat d’électricité du logement concerné sur France, ainsi que diverses factures d’électricité, au nom du précité sont versées à la procédure. Des photos de « B______ », géolocalisées à Collonges-sous- Salève, sont produites, à l’instar du dossier vétérinaire du canidé auprès de la clinique de Saint-Julien-en-Genevois attestant de consultations, mensuelles et régulières, depuis mai 2021 et donc d’un suivi régulier en France.</w:t>
      </w:r>
    </w:p>
    <w:p>
      <w:r>
        <w:t>Pour sa part, le SCAV n’a produit aucun document, ni même son dossier, alors qu’il y avait été invité tant par le recourant que par la chambre de céans. Le caviardage des noms des dénonciateurs, dans les pièces du SCAV produites par le recourant, ne permet en l’état pas d’exclure l’influence du conflit de voisinage, établi et non contesté. Les raisons invoquées par le SCAV pour refuser en l’état le plan de rapatriement n’emportent pas conviction au vu de ce qui précède.</w:t>
      </w:r>
    </w:p>
    <w:p>
      <w:r>
        <w:t>Partant, la solution proposée par le recourant apparaît mieux respecter le principe de la proportionnalité que le séquestre. Il convient dès lors d'autoriser le recourant à agir dans ce sens.</w:t>
      </w:r>
    </w:p>
    <w:p>
      <w:r>
        <w:t>Il s’ensuit que le recours sera partiellement admis et le séquestre levé. L’interdiction de la présence desdits chiens sur le territoire genevois sera rappelée. Il sera pour le surplus donné acte au recourant de ses engagements, conformément aux conclusions prises dans son recours.</w:t>
      </w:r>
    </w:p>
    <w:p>
      <w:r>
        <w:t>En conséquence, l’interdiction de détenir des chiens dont le poids excéderait 10 kg à l’âge adulte, pour une durée de cinq ans, est aussi annulée, la question de savoir si le recourant a pratiqué le dressage au mordant souffrant de rester, en l’état, indécise.</w:t>
      </w:r>
    </w:p>
    <w:p>
      <w:r>
        <w:t>- 10/11 - A/126/2022</w:t>
      </w:r>
    </w:p>
    <w:p>
      <w:r>
        <w:t>Pour le surplus, l’attention du recourant est expressément attirée sur le fait que toute présence de « B______ » et/ou de ses chiots sur le territoire cantonal, est strictement interdite. Conformément à la jurisprudence précitée, si la présence de l’un des chiens devait à nouveau être constatée sur le territoire cantonal, le SCAV pourrait prendre d'autres mesures, plus contraignantes. 6) Au vu de la faute commise par le recourant en introduisant sur le territoire genevois neuf chiens listés comme étant interdits, les frais, y compris de séquestre, seront laissés à sa charge. 7)</w:t>
      </w:r>
    </w:p>
    <w:p>
      <w:r>
        <w:t>Vu l’issue du litige, aucun émolument ne sera perçu (art. 87 al. 1 LPA). Une indemnité de procédure de CHF 1'000.- sera allouée au recourant, à la charge du SCAV, au vu de cette issue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