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ATA/426/2017 vom 11. April 2017</w:t>
      </w:r>
    </w:p>
    <w:p>
      <w:r>
        <w:t>GE Cour de justice, 2017-04-11, FR</w:t>
      </w:r>
    </w:p>
    <w:p>
      <w:r>
        <w:rPr>
          <w:b/>
        </w:rPr>
        <w:t xml:space="preserve">Quelle: </w:t>
      </w:r>
      <w:r>
        <w:t>https://mcp.opencaselaw.ch/entscheid/ge_gerichte_ATA_426_2017</w:t>
      </w:r>
    </w:p>
    <w:p>
      <w:r>
        <w:t>FR: GE_GERICHTE ATA/426/2017 du 11 avril 2017</w:t>
      </w:r>
    </w:p>
    <w:p>
      <w:r>
        <w:t>IT: GE_GERICHTE ATA/426/2017 del 11 aprile 2017</w:t>
      </w:r>
    </w:p>
    <w:p>
      <w:pPr>
        <w:pStyle w:val="Heading2"/>
      </w:pPr>
      <w:r>
        <w:t>Regeste</w:t>
      </w:r>
    </w:p>
    <w:p>
      <w:r>
        <w:t>Résumé: En l'espèce, le législateur a précisé dans une loi au sens formelle qu'il appartient au Conseil d'État de définir les prestations circonstancielles et leurs conditions d'octroi, ce que ce dernier a fait dans une ordonnance législative de substitution, soit à l'art. 9 RIASI. La recourante ne conteste pas avoir présenté les factures et décompte hors délai ni n'invoque un cas de force majeur.</w:t>
      </w:r>
    </w:p>
    <w:p>
      <w:pPr>
        <w:pStyle w:val="Heading2"/>
      </w:pPr>
      <w:r>
        <w:t>Erwägungen</w:t>
      </w:r>
    </w:p>
    <w:p>
      <w:r>
        <w:rPr>
          <w:b/>
        </w:rPr>
        <w:t>E. 12</w:t>
      </w:r>
    </w:p>
    <w:p>
      <w:r>
        <w:t>septembre 1985 - LPA - E 5 10). 2) a. Selon l’art. 5 al. 1 de la Constitution fédérale de la Confédération suisse du 18 avril 1999 (Cst. - RS 101), le droit est la base et la limite de l’activité de l’État.</w:t>
      </w:r>
    </w:p>
    <w:p>
      <w:r>
        <w:t>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 Alexandre FLÜCKIGER/Vincent MARTENET, Droit administratif, vol. I, 3ème éd., 2012, p. 621s, 624 et 650; Thierry TANQUEREL, Manuel de droit administratif, 2011, n. 448, 467 ss et 476 ss).</w:t>
      </w:r>
    </w:p>
    <w:p>
      <w:r>
        <w:t>b. Au niveau fédéral, le principe de la séparation des pouvoirs est implicitement contenu dans la Constitution fédérale (Pierre MOOR/Alexandre FLÜCKIGER/Vincent MARTENET, op. cit., Vol. I, p. 458). Il s’agit d’un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w:t>
      </w:r>
    </w:p>
    <w:p>
      <w:r>
        <w:t>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ATA/168/2008 du 8 avril 2008 consid. 3a ; Andreas AUER/Giorgio MALINVERNI/Michel HOTTELIER, Droit constitutionnel suisse, vol. I, 3ème éd., 2013, p. 542 ; Thierry</w:t>
      </w:r>
    </w:p>
    <w:p>
      <w:r>
        <w:t>- 5/10 - A/3180/2016 TANQUEREL, op. cit., n. 323). Pour être applicable et opposable aux citoyens, le règlement du Conseil d’État doit être publié, à l’instar de toute norme juridique (ATF 120 Ia 1 consid. 4b ; Pierre MOOR/Alexandre FLÜCKIGER/Vincent MARTENET, op. cit., vol. I, p. 55, 179 et 653 ; Thierry TANQUEREL, op. cit., n. 292).</w:t>
      </w:r>
    </w:p>
    <w:p>
      <w:r>
        <w:t>Le mécanisme de la délégation législative est solidement ancré dans le droit public cantonal (ATA/585/2014 du 29 juillet 2014 consid. 4e ; ATA/391/2007 du 7 août 2007 consid. 6). Il est en effet admis que le législateur cantonal a le droit de déléguer au gouvernement la compétence d’adopter des lois au sens matériel et de l’autoriser à créer des règles de droit sous forme d’ordonnance de substitution dépendante, fondée précisément sur une délégation législative. Ce droit est limité par quatre règles établies par une longue jurisprudence du Tribunal fédéral (ATF 128 I 113 consid. 2 ; 118 Ia consid. 3 ; 115 Ia 277 consid. 7) et qui ont elles-mêmes valeur constitutionnelle. La délégation ne doit pas être prohibée par le droit cantonal. Elle doit se limiter chaque fois à une matière déterminée. Elle doit figurer dans une loi au sens formel. La norme de délégation doit indiquer le contenu essentiel de la réglementation, y compris en cas de rapport de droit spécial tel que le droit de la fonction publique (ATF 128 I 113 consid. 3c ; Thierry TANQUEREL, op. cit., n. 497). Un acte législatif qui ne respecte pas l’une ou l’autre de ces quatre conditions ainsi qu’une décision qui se base sur une telle ordonnance, manquent de base légale et violent le principe de la séparation des pouvoirs (ATA/585/2014 précité consid. 4e ; ATA/391/2007 précité consid. 6 ; Andreas AUER/Giorgio MALINVERNI/Michel HOTTELIER, op. cit., p. 543 ss.).</w:t>
      </w:r>
    </w:p>
    <w:p>
      <w:r>
        <w:t>c. Le gouvernement peut édicter des règles de droit soit dans des ordonnances législatives d’exécution, soit dans des ordonnances législatives de substitution fondées sur une délégation législative (ATA/52/2015 du 13 janvier 2015).</w:t>
      </w:r>
    </w:p>
    <w:p>
      <w:r>
        <w:t>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w:t>
      </w:r>
    </w:p>
    <w:p>
      <w:r>
        <w:t>- 6/10 - A/3180/2016 (ATF 134 I 322 consid. 2.4 ; 133 II 331 consid. 7.2.2 ; 132 I 7 consid. 2.2 ; 104 Ib 205 consid. 3b ; ATA/571/2014 du 29 juillet 2014 consid. 6 ; ATA/455/2013 du 30 juillet 2013 ; ATA/168/2008 du 8 avril 2008 consid. 3 ; Andreas AUER/Giorgio MALINVERNI/Michel HOTTELIER, op. cit., p. 540 ss ; Pierre MOOR/Alexandre FLÜCKIGER/Vincent MARTENET, op. cit., vol. I, p. 244 ss et 251 ss ; Thierry TANQUEREL, op. cit., n. 323 ss, 371 et 375s).</w:t>
      </w:r>
    </w:p>
    <w:p>
      <w:r>
        <w:t>Pour déterminer l’étendue du pouvoir réglementaire, il faut interpréter la loi quelle que soit la nature de la norme (Pierre MOOR/Alexandre FLÜCKIGER/ Vincent MARTENET, op. cit., vol. I, p. 244 ss). 3) a. Selon l’art. 12 Cst.,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L’aide sociale est soumise au principe de subsidiarité, rappelé par l’art. 12 Cst. (ATA/343/2014 du 13 mai 2014 ; ATA/452/2012 du 30 juillet 2012 ; Félix WOLFFERS, Fondement du droit de l’aide sociale, 1995, p. 77).</w:t>
      </w:r>
    </w:p>
    <w:p>
      <w:r>
        <w:t>b. En droit genevois, la loi sur l’insertion et l’aide sociale individuelle du 22 mars 2007 (LIASI - J 4 04) et le RIASI concrétisent l’art. 12 Cst. (ATA/452/2012 du 30 juillet 2012 ; ATA/440/2009 du 8 septembre 2009 ; ATA/809/2005 du 29 novembre 2005 et les références citées).</w:t>
      </w:r>
    </w:p>
    <w:p>
      <w:r>
        <w:t>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Les prestations d’aide financière sont subsidiaires à toute autre source de revenu (art. 9 al. 1 LIASI).</w:t>
      </w:r>
    </w:p>
    <w:p>
      <w:r>
        <w:t>c. Le SPC est l’organe compétent pour verser aux familles entrant dans le champ d’application du présent règlement les prestations complémentaires familiales et les prestations d’aide sociale en vertu de l’art. 3 al. 2 let. c LIASI (art. 3 al. 1 du règlement relatif aux prestations complémentaires familiales - RPCFam - J 4 25.04). Aux termes de l’art. 26 al. 1 RPCFam, la demande de prestations, prévue à l’art. 10 de la loi, vaut également demande de prestations d’aide sociale, dues par le service en vertu de l’art. 3 al. 2 let. c LIASI.</w:t>
      </w:r>
    </w:p>
    <w:p>
      <w:r>
        <w:t>- 7/10 - A/3180/2016</w:t>
      </w:r>
    </w:p>
    <w:p>
      <w:r>
        <w:t>d. Conformément à l’art. 21 al. 1 LIASI, ont droit aux prestations d’aide financière les personnes dont le revenu mensuel déterminant n’atteint pas le montant destiné à la couverture des besoins de base et dont la fortune ne dépasse pas les limites fixées par règlement du Conseil d’État. Selon l’art 21 al. 2 LIASI, font partie des besoins de base, le forfait pour l’entretien fixé par règlement du Conseil d’État (let. a), le loyer ainsi que les charges ou, si le demandeur est propriétaire de sa demeure permanente, les intérêts hypothécaires, dans les limites fixées par règlement du Conseil d’État (let. b), la prime d’assurance-maladie obligatoire des soins, mais au maximum le montant correspondant à la prime moyenne cantonale fixée par le Département fédéral de l’intérieur, sous réserve des exceptions temporaires prévues par règlement du Conseil d’État pour les nouvelles personnes présentant une demande d’aide sociale et dont la prime d’assurance-maladie obligatoire dépasse la prime moyenne cantonale (let. c) et les prestations circonstancielles destinées à prendre en charge d’autres frais, définies par règlement du Conseil d’État (let. d).</w:t>
      </w:r>
    </w:p>
    <w:p>
      <w:r>
        <w:t>e. Conformément à l’art. 25 LIASI, peuvent être accordées aux personnes qui, en application des art. 21 à 24 LIASI, ont droit à des prestations d’aide financière, les prestations suivantes : a) les suppléments d’intégration à titre de prestations à caractère incitatif ; b) les autres prestations circonstancielles (al. 1) ; le Conseil d’État définit par règlement ces prestations et fixe leurs conditions d’octroi (al. 2).</w:t>
      </w:r>
    </w:p>
    <w:p>
      <w:r>
        <w:t>Aux termes de l’art. 9 RIASI, en application de l’article 25 al. 1 let. b de la loi, les autres prestations circonstancielles décrites ci-après sont accordées au bénéficiaire de prestations d’aide financière aux conditions cumulatives et dans les limites suivantes :</w:t>
      </w:r>
    </w:p>
    <w:p>
      <w:r>
        <w:t>a) les frais concernent des prestations de tiers reçues durant une période d’aide financière au sens de l’article 28 de la loi ;</w:t>
      </w:r>
    </w:p>
    <w:p>
      <w:r>
        <w:t>b) la facture du prestataire ou le décompte de l’assureur relatif à ces frais sont présentés au remboursement dans le délai de trois mois à compter de la date à laquelle ils sont établis (al. 1).</w:t>
      </w:r>
    </w:p>
    <w:p>
      <w:r>
        <w:t>Les franchises et les quotes-parts annuelles prévues par la loi fédérale sur l’assurance-maladie du 18 mars 1994 (LAMal - RS 832.10), découlant de l’application des articles 21A et 21B LIASI, sont prises en charge sur présentation du décompte établi par l’assureur ou des factures (al. 2).</w:t>
      </w:r>
    </w:p>
    <w:p>
      <w:r>
        <w:t>La preuve du paiement des factures précédentes peut être demandée avant la prise en charge des factures suivantes (al. 3).</w:t>
      </w:r>
    </w:p>
    <w:p>
      <w:r>
        <w:t>Les soins dentaires de base ou effectués en urgence sont pris en charge sans devis, à concurrence de CHF 500.- par année civile et par personne, sur présentation des factures originales. Dans les autres cas, un devis préalable au</w:t>
      </w:r>
    </w:p>
    <w:p>
      <w:r>
        <w:t>- 8/10 - A/3180/2016 traitement doit être soumis au dentiste-conseil de l’Hospice général pour accord avant toute prise en charge (al. 4). 4)</w:t>
      </w:r>
    </w:p>
    <w:p>
      <w:r>
        <w:t>En l’espèce, le législateur a précisé dans une loi au sens formelle qu’il appartient au Conseil d’État de définir les prestations circonstancielles et leurs conditions d’octroi, ce que ce dernier a fait dans une ordonnance législative de substitution, soit à l’art. 9 RIASI.</w:t>
      </w:r>
    </w:p>
    <w:p>
      <w:r>
        <w:t>Par conséquent, le grief relatif à l’absence de base légale permettant de soumettre à un délai de trois mois la présentation des factures et décompte sera écarté, cette condition d’octroi étant clairement définie à l’art. 9 al. 1 let. b RIASI, étant précisé que le délai de six mois appliqué par l’intimé est plus favorable aux bénéficiaires.</w:t>
      </w:r>
    </w:p>
    <w:p>
      <w:r>
        <w:t>Les intéressés peuvent se faire rembourser leurs frais médicaux après avoir soumis les factures de soin à l’intimé, si bien qu’ils ont tout avantage à les transmettre rapidement. Par conséquent, la chambre de céans ne peut pas faire sien le raisonnement de la recourante, selon lequel la limitation du délai de prescription à trois mois vide de sa substance la norme légale qui prévoit le remboursement des soins médicaux.</w:t>
      </w:r>
    </w:p>
    <w:p>
      <w:r>
        <w:t>Enfin, le document « information sur le remboursement des frais », qui mentionne un délai de six mois, est disponible sur le site internet de l’intimé à l’adresse https://www.ge.ch/prestations-financieres/doc/pcfam/Notice-Frais- PCFam.pdf, si bien que la recourante ne peut prétendre en avoir eu connaissance le 18 septembre 2015 uniquement.</w:t>
      </w:r>
    </w:p>
    <w:p>
      <w:r>
        <w:t>La recourante ne contestant pas avoir présenté ses factures et décomptes hors délai, que ce soit trois ou six mois, ni n’invoquant un cas de force majeure (art. 16 al. 1 phr. 2 LPA) aucun élément ne permet de remettre en cause la décision de l’intimé, qui est conforme à la loi. 5)</w:t>
      </w:r>
    </w:p>
    <w:p>
      <w:r>
        <w:t>Pour ces motifs, le recours sera rejeté. 6)</w:t>
      </w:r>
    </w:p>
    <w:p>
      <w:r>
        <w:t>Vu la nature du litige, il ne sera pas perçu d’émolument (art. 87 al. 1 LPA et 11 du règlement sur les frais, émoluments et indemnités en procédure administrative du 30 juillet 1986 - RFPA - E 5 10.03). Vu son issue, il ne sera pas alloué d’indemnité de procédure (art. 87 al. 2 LPA).</w:t>
      </w:r>
    </w:p>
    <w:p>
      <w:r>
        <w:t>* * * * *</w:t>
      </w:r>
    </w:p>
    <w:p>
      <w:r>
        <w:t>- 9/10 - A/3180/2016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