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ATA/426/2012 vom 3. Juli 2012</w:t>
      </w:r>
    </w:p>
    <w:p>
      <w:r>
        <w:t>GE Cour de justice, 2012-07-03, FR</w:t>
      </w:r>
    </w:p>
    <w:p>
      <w:r>
        <w:rPr>
          <w:b/>
        </w:rPr>
        <w:t xml:space="preserve">Quelle: </w:t>
      </w:r>
      <w:r>
        <w:t>https://mcp.opencaselaw.ch/entscheid/ge_gerichte_ATA_426_2012</w:t>
      </w:r>
    </w:p>
    <w:p>
      <w:r>
        <w:t>FR: GE_GERICHTE ATA/426/2012 du 3 juillet 2012</w:t>
      </w:r>
    </w:p>
    <w:p>
      <w:r>
        <w:t>IT: GE_GERICHTE ATA/426/2012 del 3 luglio 2012</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w:t>
      </w:r>
    </w:p>
    <w:p>
      <w:r>
        <w:rPr>
          <w:b/>
        </w:rPr>
        <w:t>E. 2</w:t>
      </w:r>
    </w:p>
    <w:p>
      <w:r>
        <w:t>La conclusion du recourant tendant à la condamnation au paiement du montant correspondant aux jours de travail n'ayant pas pu être effectués est néanmoins irrecevable à un double titre. Il s'agit en effet d'une conclusion au fond formée après l'expiration du délai de recours (ATA/270/2012 du 8 mai 2012 consid. 2 ; ATA/644/2011 du 11 octobre 2011 consid. 10). En outre, les litiges mettant en cause la responsabilité de l'Etat sont de la compétence du Tribunal de première instance (art. 7 al. 1 de la loi sur la responsabilité de l'Etat et des communes du 24 février 1989 - LREC - A 2 40) et non de la chambre de céans.</w:t>
      </w:r>
    </w:p>
    <w:p>
      <w:r>
        <w:rPr>
          <w:b/>
        </w:rPr>
        <w:t>E. 3</w:t>
      </w:r>
    </w:p>
    <w:p>
      <w:r>
        <w:t>Dans un grief d'ordre formel qu'il convient d'examiner liminairement (Arrêt du Tribunal fédéral 8C_449/2011 du 6 juin 2012 consid. 2.2.1), le recourant se plaint de la violation de son droit d'être entendu, car la sanction lui aurait été notifiée sans qu'il puisse se déterminer à son égard.</w:t>
      </w:r>
    </w:p>
    <w:p>
      <w:r>
        <w:rPr>
          <w:b/>
        </w:rPr>
        <w:t>E. 4</w:t>
      </w:r>
    </w:p>
    <w:p>
      <w:r>
        <w:t>La procédure administrative est conduite par le juge selon le principe de la maxime d’office (recte :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w:t>
      </w:r>
    </w:p>
    <w:p>
      <w:r>
        <w:t>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 l'autorité de décision peut ainsi se livrer à une appréciation de la pertinence du fait à</w:t>
      </w:r>
    </w:p>
    <w:p>
      <w:r>
        <w:t>- 7/10 - A/1037/2012 prouver et de l'utilité du moyen de preuve offert et, sur cette base, refuser de l'administrer. Ce refus ne viole le droit d'être entendu que si l'appréciation à laquelle elle a ainsi procédé est entachée d'arbitraire (ATF 136 I 229 consid. 5.3 ; 134 I 140 consid. 5.3 ; 131 I 153 consid. 3 p. 158 ; 130 I 425 consid. 2.1 p. 428 ; ATA/275/2012 du 8 mai 2012 ; ATA/655/2010 du 21 septembre 2010 et les références citées).</w:t>
      </w:r>
    </w:p>
    <w:p>
      <w:r>
        <w:rPr>
          <w:b/>
        </w:rPr>
        <w:t>E. 5</w:t>
      </w:r>
    </w:p>
    <w:p>
      <w:r>
        <w:t>En l'espèce, le gardien-chef A______ a fait avec M. S______ un « point de situation oral » avant de lui notifier la décision attaquée. L'intéressé a ainsi, comme il l'a lui-même précisé lors de l'audience de comparution personnelle des parties, pu expliquer à M. A______ qu'il ne s'était pas rendu au travail pour cause de maladie.</w:t>
      </w:r>
    </w:p>
    <w:p>
      <w:r>
        <w:t>Son droit d'être entendu a donc été respecté, la législation spécifique, en particulier l'art. 47 al. 2 RRIP, ne prévoyant pas la tenue d'un procès-verbal. En outre, le fait de procéder oralement est entièrement justifié pour les sanctions disciplinaires carcérales au regard de l'art. 18 LPA.</w:t>
      </w:r>
    </w:p>
    <w:p>
      <w:r>
        <w:rPr>
          <w:b/>
        </w:rPr>
        <w:t>E. 6</w:t>
      </w:r>
    </w:p>
    <w:p>
      <w:r>
        <w:t>Le recourant sollicite la production de renseignements écrits de l'« aumônière G______ ».</w:t>
      </w:r>
    </w:p>
    <w:p>
      <w:r>
        <w:t>Contrairement à ce qu'il prétend, les renseignements que cette personne, non identifiée à ce jour, pourrait fournir ne sont pas déterminants pour l'issue du litige, et ne sauraient influencer celle-ci. En effet, le recourant prétend qu'il a vu cette personne le vendredi 30 mars 2012 et que celle-ci aurait remarqué qu'il ne se sentait pas bien. Or, il est notoire qu'une indisposition peut ne durer que quelques heures, et rien n'indiquerait, même si ces allégations étaient confirmées, que M. S______ était inapte au travail pour raisons de santé également le samedi et le dimanche ; ce d'autant plus qu'il n'est nullement allégué que la personne en question possède des connaissances médicales lui permettant d'évaluer l'état de santé de son interlocuteur et d'en inférer la durée probable de son incapacité de travail.</w:t>
      </w:r>
    </w:p>
    <w:p>
      <w:r>
        <w:t>Il sera donc renoncé à cette offre de preuves.</w:t>
      </w:r>
    </w:p>
    <w:p>
      <w:r>
        <w:rPr>
          <w:b/>
        </w:rPr>
        <w:t>E. 7</w:t>
      </w:r>
    </w:p>
    <w:p>
      <w:r>
        <w:t>Le statut des personnes incarcérées à la prison de Champ-Dollon est régi par le RRIP (art. 1 al. 3 de la loi sur l'organisation et le personnel de la prison du 21 juin 1984 - LOPP - F 1 50).</w:t>
      </w:r>
    </w:p>
    <w:p>
      <w:r>
        <w:t>Un détenu doit respecter les dispositions du RRIP, les instructions du directeur de l'office pénitentiaire,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w:t>
      </w:r>
    </w:p>
    <w:p>
      <w:r>
        <w:t>- 8/10 - A/1037/2012</w:t>
      </w:r>
    </w:p>
    <w:p>
      <w:r>
        <w:t>S'agissant du travail, sauf ordre contraire de l’autorité compétente, le prévenu peut, sur demande, être affecté à un travail dans les ateliers ou les services généraux de l’établissement ou en cellule, sous réserve des possibilités existantes (art. 50 al. 1 RRIP). Le produit de son travail est acquis à l’Etat ; toutefois, la direction de la prison verse au prévenu un pécule inscrit sur son compte (art. 50 al. 2 RRIP).</w:t>
      </w:r>
    </w:p>
    <w:p>
      <w:r>
        <w:rPr>
          <w:b/>
        </w:rPr>
        <w:t>E. 8</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 a) suppression de visite pour 15 jours au plus ; b) suppression des promenades collectives ; c) suppression d’achat pour 15 jours au plus ; d) suppression de l’usage des moyens audiovisuels pour 15 jours au plus ; e) privation de travail ; f) placement en cellule forte pour 5 jours au plus (art. 47 al. 3 RRIP), étant précisé que ces sanctions peuvent se cumuler (art. 47 al. 4 RRIP).</w:t>
      </w:r>
    </w:p>
    <w:p>
      <w:r>
        <w:rPr>
          <w:b/>
        </w:rPr>
        <w:t>E. 9</w:t>
      </w:r>
    </w:p>
    <w:p>
      <w:r>
        <w:t>Il convient d'examiner si le recourant s'est abstenu de travailler pour des raisons médicales, comme il le prétend, ou si la version des faits exposée par M. O______ dans ses rapports des 31 mars et 1er avril 2012 correspond à la réalité, étant rappelé que le principe de la libre appréciation des preuves prévaut en procédure administrative (Arrêt du Tribunal fédéral 1C_172/2012 du 11 mai 2012 consid. 2.1.2).</w:t>
      </w:r>
    </w:p>
    <w:p>
      <w:r>
        <w:t>Le recourant a déclaré à plusieurs reprises qu'il avait dit, le samedi 31 mars 2012, qu'il retournerait travailler le lundi, donc le 2 avril 2012. Il résulte par ailleurs de ses déclarations écrites (notamment de son acte de recours), comme de son affirmation selon laquelle il allait travailler la semaine même lorsqu'il ne se sentait pas bien, qu'il considère comme non obligatoire le fait de travailler le week-end, alors que le RRIP ne prévoit rien de tel, et que la nature même de sa mission est susceptible de requérir un travail supplémentaire durant les week-ends. De plus, le recourant n'a pas même sollicité d'être examiné par le corps médical, l'important et non contesté délai nécessaire avant une visite ne le dispensant pas d'une demande en ce sens.</w:t>
      </w:r>
    </w:p>
    <w:p>
      <w:r>
        <w:t>La chambre de céans retiendra donc que le recourant s'est soustrait au travail principalement, sinon uniquement, par convenance personnelle.</w:t>
      </w:r>
    </w:p>
    <w:p>
      <w:r>
        <w:rPr>
          <w:b/>
        </w:rPr>
        <w:t>E. 10</w:t>
      </w:r>
    </w:p>
    <w:p>
      <w:r>
        <w:t>Dans ces conditions, et au vu de la réitération du comportement - qui s'était même déjà produit auparavant selon le premier rapport de M. O______ -, le directeur de la prison était fondé à prononcer une privation de travail de durée indéterminée - équivalant dans les faits à une carence de six mois environ - au sens de l'art. 47 al. 3 let. e RRIP.</w:t>
      </w:r>
    </w:p>
    <w:p>
      <w:r>
        <w:t>- 9/10 - A/1037/2012</w:t>
      </w:r>
    </w:p>
    <w:p>
      <w:r>
        <w:rPr>
          <w:b/>
        </w:rPr>
        <w:t>E. 11</w:t>
      </w:r>
    </w:p>
    <w:p>
      <w:r>
        <w:t>Le recours sera ainsi rejeté dans la mesure où il est recevable.</w:t>
      </w:r>
    </w:p>
    <w:p>
      <w:r>
        <w:t>Vu la nature du litige, aucun émolument ne sera perçu (art. 87 al. 1 LPA ; art. 11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