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ATA/422/2020 vom 30. April 2020</w:t>
      </w:r>
    </w:p>
    <w:p>
      <w:r>
        <w:t>GE Cour de justice, 2020-04-30, FR</w:t>
      </w:r>
    </w:p>
    <w:p>
      <w:r>
        <w:rPr>
          <w:b/>
        </w:rPr>
        <w:t xml:space="preserve">Quelle: </w:t>
      </w:r>
      <w:r>
        <w:t>https://mcp.opencaselaw.ch/entscheid/ge_gerichte_ATA_422_2020</w:t>
      </w:r>
    </w:p>
    <w:p>
      <w:r>
        <w:t>FR: GE_GERICHTE ATA/422/2020 du 30 avril 2020</w:t>
      </w:r>
    </w:p>
    <w:p>
      <w:r>
        <w:t>IT: GE_GERICHTE ATA/422/2020 del 30 aprile 2020</w:t>
      </w:r>
    </w:p>
    <w:p>
      <w:pPr>
        <w:pStyle w:val="Heading2"/>
      </w:pPr>
      <w:r>
        <w:t>Regeste</w:t>
      </w:r>
    </w:p>
    <w:p>
      <w:r>
        <w:t>Résumé: Les travaux litigieux effectué dans un appartement en 2010 doivent effectivement être qualifiés de travaux de rénovation dès lors qu’ils ne relèvent pas de l’entretien régulier. Confirmation du montant de l’amende – réduit par le TAPI - pour avoir fait procédé aux travaux litigieux sans avoir au préalable requis et obtenu une autorisation de construire. Il ne peut être ordonné à la régie d’établir un nouveau bail corrigé, conforme à la décision du département, alors même que les locataires concernés n’ont plus aucun lien avec l’objet du bail. La solution est toutefois autre s’agissant de la formule de fixation du loyer, laquelle est nécessaire lors de l’établissement de tout nouveau bail ou de toute modification du montant du loyer.</w:t>
      </w:r>
    </w:p>
    <w:p>
      <w:pPr>
        <w:pStyle w:val="Heading2"/>
      </w:pPr>
      <w:r>
        <w:t>Erwägungen</w:t>
      </w:r>
    </w:p>
    <w:p>
      <w:r>
        <w:rPr>
          <w:b/>
        </w:rPr>
        <w:t>E. 12</w:t>
      </w:r>
    </w:p>
    <w:p>
      <w:r>
        <w:t>septembre 1985 - LPA - E 5 10). 2)</w:t>
      </w:r>
    </w:p>
    <w:p>
      <w:r>
        <w:t>Le litige porte, à ce stade, sur la qualification des travaux effectués dans l’appartement et sur la question de savoir s'ils sont soumis à la LDTR, ainsi que sur l’obligation faite à la régie d’établir un nouveau contrat de bail et sur l’amende ‒ réduite à CHF 4'000.- par le TAPI ‒ qui lui a été infligée par le département. L’obligation faite à la régie de rembourser le trop-perçu des loyers aux locataires concernés, annulée par le TAPI, n’est ici plus litigieuse compte tenu de l’absence de recours du département sur ce point.</w:t>
      </w:r>
    </w:p>
    <w:p>
      <w:r>
        <w:t>- 12/24 - A/4334/2018 3)</w:t>
      </w:r>
    </w:p>
    <w:p>
      <w:r>
        <w:t>Sans y conclure formellement, les recourantes relèvent qu’en cas de doutes sur la nature précise des travaux réalisés dans l’appartement litigieux, la chambre administrative devait auditionner le gérant technique de l’immeuble et les représentants des entreprises étant intervenues. Elles semblent également reprocher au TAPI de ne pas avoir procédé auxdites auditions.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w:t>
      </w:r>
    </w:p>
    <w:p>
      <w:r>
        <w:rPr>
          <w:b/>
        </w:rPr>
        <w:t>E. 16</w:t>
      </w:r>
    </w:p>
    <w:p>
      <w:r>
        <w:t>juin 2015 consid. 2.1 ; 2C_481/2013 du 30 mai 2013 consid. 2.1 ; ATA/476/2016 du 7 juin 2016 consid. 3 et les arrêts cités).</w:t>
      </w:r>
    </w:p>
    <w:p>
      <w:r>
        <w:t>Le droit d'être entendu ne comprend pas le droit d'être entendu oralement (ATF 134 I 140 consid. 5.3 ; arrêt du Tribunal fédéral 1C_551/2015 du 22 mars 2016 consid. 2.2), ni celui d'obtenir l'audition de témoins (ATF 130 II 425 consid. 2.1).</w:t>
      </w:r>
    </w:p>
    <w:p>
      <w:r>
        <w:t>De plus,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w:t>
      </w:r>
    </w:p>
    <w:p>
      <w:r>
        <w:t>b. En l'espèce, la décision du TAPI de ne pas donner suite à la demande d'instruction complémentaire n'est pas critiquable. Les pièces figurant au dossier, soit notamment les photographies jointes au rapport de visite, les devis et factures des entreprises ayant effectué des travaux dans l’appartement entre 2003 et 2007, respectivement en 2010, ainsi que les plans du logement, sont suffisants pour permettre à la chambre de céans d’apprécier l’étendue et la nature des travaux litigieux. Par ailleurs, tout au long de la procédure, tant devant le TAPI que la chambre de céans, les recourantes ont eu l'occasion de se déterminer par écrit et se sont exprimées de manière circonstanciée sur l’objet du litige et en particulier sur la nature précise des travaux réalisés dans l’appartement.</w:t>
      </w:r>
    </w:p>
    <w:p>
      <w:r>
        <w:t>- 13/24 - A/4334/2018</w:t>
      </w:r>
    </w:p>
    <w:p>
      <w:r>
        <w:t>Pour les raisons qui précèdent, la chambre de céans ne donnera pas non plus suite aux demandes d’auditions sollicitées par les recourantes. 4)</w:t>
      </w:r>
    </w:p>
    <w:p>
      <w:r>
        <w:t>Les recourantes contestent le fait que les travaux litigieux réalisés en 2010 soient assujettis à la LDTR et soumis à autorisation, dans la mesure où il s’agirait de travaux d’entretien régulier et non de transformation. 5) a. La LDTR a pour but de préserver l'habitat et les conditions de vie existants, ainsi que le caractère actuel de l'habitat dans les zones visées expressément par la loi (art. 1 al. 1 LDTR). Elle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 Le département accorde l’autorisation si les logements transformés répondent, quant à leur genre, leur loyer ou leur prix, aux besoins prépondérants de la population (art. 9 al. 2 1ère phrase LDTR).</w:t>
      </w:r>
    </w:p>
    <w:p>
      <w:r>
        <w:t>Plus spécifiquement, la LDTR vise à éviter la disparition de logements à usage locatif (arrêt du Tribunal fédéral 1P.406/2005 du 9 janvier 2006 consid. 3.3 ; ATA/675/2017 du 20 juin 2017) et correspond à un intérêt public évident (ATF 128 I 206 consid. 5.2.4 ; 113 Ia 126 consid. 7a ; 111 Ia 23 consid. 3a et les arrêts cités).</w:t>
      </w:r>
    </w:p>
    <w:p>
      <w:r>
        <w:t>b. Les travaux qui doivent être qualifiés de travaux de transformation sont ceux décrits à l'art. 3 al. 1 et 2 LDTR. Parmi ceux-ci figurent les travaux de transformation proprement dits qui modifient l’architecture, le volume, l’implantation, la destination, la distribution intérieure de tout ou partie d’une maison d’habitation (art. 3 al. 1 let. a LDTR), la création d’installations nouvelles d’une certaine importance, telles que chauffage, distribution d’eau chaude, ascenseur, salles de bains et cuisines (art. 3 al. 1 let. c LDTR), mais aussi les travaux de rénovation, soit la remise en état, même partielle, de tout ou partie d’une maison d’habitation, en améliorant le confort existant sans modifier la distribution des logements (art. 3 al. 1 let. d LDTR) sous réserve qu'il ne s'agisse pas de travaux d'entretien. Ces derniers, non assujettis à la LDTR, sont les travaux courants faisant partie des frais d'exploitation ordinaires d'une maison d'habitation, pour autant qu'ils n'engendrent pas une amélioration importante du confort existant. En revanche, des travaux d’entretien différés dans le temps, rendus nécessaire par les carences du propriétaire sont assimilés à des travaux de transformation soumis à la LDTR (Emmanuelle GAIDE et Valérie DEFAGO GAUDIN, La LDTR : démolition, transformation, changement d'affectation et aliénation. Immeubles de logement et appartements, 2014, p. 192 n. 2.5.3). 6)</w:t>
      </w:r>
    </w:p>
    <w:p>
      <w:r>
        <w:t>De jurisprudence constante, il y a lieu, pour distinguer entre des travaux d’entretien courant non soumis à la LDTR et des travaux de rénovation assimilés à</w:t>
      </w:r>
    </w:p>
    <w:p>
      <w:r>
        <w:t>- 14/24 - A/4334/2018 des travaux de transformation au sens de l’art. 3 LDTR, de tenir un raisonnement en deux temps, à savoir :</w:t>
      </w:r>
    </w:p>
    <w:p>
      <w:r>
        <w:t>- examiner d'abord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 à la LDTR, en raison d'une incidence directe de ceux-ci sur le loyer du logement (ATA/307/2017 du 21 mars 2017 consid. 4c ; ATA/694/2016 du 23 août 2016 consid. 5a ; ATA/328/2013 du 28 mai 2013, confirmé par l'arrêt du Tribunal fédéral 1C_624/2013 du 13 février 2014), ou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(ATA/694/2016 précité consid. 5a ; ATA/584/2015 du 9 juin 2015 et la référence ; Alain MAUNOIR, La nouvelle LDTR au regard de la jurisprudence, in RDAF 1996 p. 314 et la référence). On parle alors aussi de travaux d'entretien différés dans le temps (Emmanuelle GAIDE et Valérie DÉFAGO GAUDIN, op. cit., 2014, p. 193) ;</w:t>
      </w:r>
    </w:p>
    <w:p>
      <w:r>
        <w:t>- puis s'attacher à l'ampleur et, partant, au coût desdits travaux et à leur répercussion sur le montant du loyer, dès lors qu'il pourrait en résulter un changement d'affectation qualitatif des logements, au risque que ces derniers ne répondent plus aux besoins prépondérants la population (ATA/694/2016 précité consid. 5b ; ATA/645/2012 du 25 septembre 2012 ; ATA/646/2010 du</w:t>
      </w:r>
    </w:p>
    <w:p>
      <w:r>
        <w:rPr>
          <w:b/>
        </w:rPr>
        <w:t>E. 21</w:t>
      </w:r>
    </w:p>
    <w:p>
      <w:r>
        <w:t>décembre 1937 (CP - RS 311.0) s'appliquent à titre de droit cantonal supplétif. On doit cependant réserver celles qui concernent exclusivement le juge pénal (ATA/440/2019 précité et les références citées).</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w:t>
      </w:r>
    </w:p>
    <w:p>
      <w:r>
        <w:t>- 22/24 - A/4334/2018 principe de la proportionnalité (art. 36 al. 3 Cst. ; ATA/440/2019 précité et les références citées).</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et les références citées).</w:t>
      </w:r>
    </w:p>
    <w:p>
      <w:r>
        <w:t>d.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proportionnalité (ATA/440/2019 précité ; ATA/19/2018 du 9 janvier 2018 confirmé par arrêt du Tribunal fédéral 1C_80/2018 du 23 mai 2019 ; ATA/558/2013 du 27 août 2013).</w:t>
      </w:r>
    </w:p>
    <w:p>
      <w:r>
        <w:t>Dans sa jurisprudence, la chambre administrative a plusieurs fois confirmé qu'un montant de CHF 5'000.- était a priori adapté aux ressources financières d'une personne morale et correspondait à une pratique relativement régulière du département (ATA/694/2016 du 23 août 2016 ; ATA/1015/2014 du 16 décembre 2014 ; ATA/260/2014 du 15 avril 2014 ; ATA/789/2012 du 20 septembre 2012). 19) Bien que les recourantes concluent à l’annulation de la décision du</w:t>
      </w:r>
    </w:p>
    <w:p>
      <w:r>
        <w:rPr>
          <w:b/>
        </w:rPr>
        <w:t>E. 26</w:t>
      </w:r>
    </w:p>
    <w:p>
      <w:r>
        <w:t>novembre 2018, au demeurant exclusivement adressée à l’attention de la régie, leur recours ne traite à aucun moment ‒ outre le fait qu’elles considèrent que les travaux n’étaient pas soumis à la LDTR ‒ du principe ou du montant de l’amende.</w:t>
      </w:r>
    </w:p>
    <w:p>
      <w:r>
        <w:t>Cela étant, la régie a fait procéder aux travaux litigieux sans avoir au préalable requis et obtenu une autorisation de construire, ni même avoir consulté le département en cas de doute sur la nature des travaux prévus. Elle a ainsi mis l'autorité devant le fait accompli, sans pouvoir ignorer, en qualité de professionnelle de l’immobilier, qu’elle violait la loi. Ainsi, le principe de l’amende administrative à son encontre est acquis.</w:t>
      </w:r>
    </w:p>
    <w:p>
      <w:r>
        <w:t>Dans le cadre de la fixation de la quotité de l’amende, il convient de relever que des travaux ont effectivement été réalisés sans droit dans l’appartement litigieux. Le TAPI a toutefois retenu, à raison, qu’il ne ressortait pas du dossier que la régie ait commis auparavant des infractions du même type et que l’augmentation de loyer ne pouvait être retenue à sa charge, dès lors que ce n’était</w:t>
      </w:r>
    </w:p>
    <w:p>
      <w:r>
        <w:t>- 23/24 - A/4334/2018 pas elle mais la propriétaire qui avait agi avec cupidité en majorant celui-ci de 77 %. Dès lors, l’instance précédente a, à juste titre, réduit le montant de l’amende à CHF 4'000.-, lequel sera confirmé. 20) Compte tenu de ce qui précède, le recours sera très partiellement admis.</w:t>
      </w:r>
    </w:p>
    <w:p>
      <w:r>
        <w:t>Le jugement querellé sera intégralement confirmé, sous réserve de la confirmation de l’injonction faite à la régie d’établir un nouveau contrat de bail, qui sera annulée. La décision du département du 26 novembre 2018 sera ainsi également annulée en tant qu’elle ordonne à la régie d’établir un nouveau contrat de bail. 21) Vu l'issue du litige, un émolument réduit de CHF 700.- sera mis à la charge des recourantes, conjointement et solidairement, qui succombent pour une large part (art. 87 al. 1 LPA). Une indemnité de procédure de CHF 300.- sera allouée aux recourantes, conjointement et solidairement, à la charge de l'État de Genève, soit pour lui le département du territoire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