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ATA/421/2020 vom 30. April 2020</w:t>
      </w:r>
    </w:p>
    <w:p>
      <w:r>
        <w:t>GE Cour de justice, 2020-04-30, FR</w:t>
      </w:r>
    </w:p>
    <w:p>
      <w:r>
        <w:rPr>
          <w:b/>
        </w:rPr>
        <w:t xml:space="preserve">Quelle: </w:t>
      </w:r>
      <w:r>
        <w:t>https://mcp.opencaselaw.ch/entscheid/ge_gerichte_ATA_421_2020</w:t>
      </w:r>
    </w:p>
    <w:p>
      <w:r>
        <w:t>FR: GE_GERICHTE ATA/421/2020 du 30 avril 2020</w:t>
      </w:r>
    </w:p>
    <w:p>
      <w:r>
        <w:t>IT: GE_GERICHTE ATA/421/2020 del 30 aprile 2020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(LTF - RS 173.110), le présent arrêt peut être porté dans les trente jours qui suivent sa notification par-devant le Tribunal fédéral ; - par la voie du recours en matière de droit public, s'il porte sur les rapports de travail entre les parties et que la valeur litigieuse n'est pas inférieure à CHF 15'000.- ; - par la voie du recours en matière de droit public, si la valeur litigieuse est inférieure à CHF 15'000.- et que la contestation porte sur une question juridique de principe ; - par la voie du recours constitutionnel subsidiaire, aux conditions posées par les art. 113 ss LTF, si la valeur litigieuse est inférieure à CHF 15'000.- ; le mémoire de recours doit indiquer les conclusions, motifs et moyens de preuve et porter la signature du recourant ou de son mandataire ; il doit être adressé au Tribunal fédéral, Schweizerhofquai 6, 6004 Lucerne, par voie postale ou par voie électronique aux</w:t>
      </w:r>
    </w:p>
    <w:p>
      <w:r>
        <w:t>- 3/3 - A/4597/2019 conditions de l'art. 42 LTF. Le présent arrêt et les pièces en possession du recourant, invoquées comme moyens de preuve, doivent être joints à l'envoi ; communique le présent arrêt à Madame A______, ainsi qu'à la Ville de Genève. Siégeant : Mme Krauskopf, présidente, MM. Thélin et Verniory, Mme Payot Zen-Ruffinen, M. Mascotto, juges Au nom de la chambre administrative : la greffière :</w:t>
      </w:r>
    </w:p>
    <w:p>
      <w:r>
        <w:t>C. Meyer</w:t>
      </w:r>
    </w:p>
    <w:p>
      <w:r>
        <w:t>la présidente siégeant :</w:t>
      </w:r>
    </w:p>
    <w:p>
      <w:r>
        <w:t>F. Krauskopf</w:t>
      </w:r>
    </w:p>
    <w:p>
      <w:r>
        <w:t>Copie conforme de cet arrêt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