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ATA/421/2016 vom 24. Mai 2016</w:t>
      </w:r>
    </w:p>
    <w:p>
      <w:r>
        <w:t>GE Cour de justice, 2016-05-24, FR</w:t>
      </w:r>
    </w:p>
    <w:p>
      <w:r>
        <w:rPr>
          <w:b/>
        </w:rPr>
        <w:t xml:space="preserve">Quelle: </w:t>
      </w:r>
      <w:r>
        <w:t>https://mcp.opencaselaw.ch/entscheid/ge_gerichte_ATA_421_2016</w:t>
      </w:r>
    </w:p>
    <w:p>
      <w:r>
        <w:t>FR: GE_GERICHTE ATA/421/2016 du 24 mai 2016</w:t>
      </w:r>
    </w:p>
    <w:p>
      <w:r>
        <w:t>IT: GE_GERICHTE ATA/421/2016 del 24 maggio 2016</w:t>
      </w:r>
    </w:p>
    <w:p>
      <w:pPr>
        <w:pStyle w:val="Heading2"/>
      </w:pPr>
      <w:r>
        <w:t>Erwägungen</w:t>
      </w:r>
    </w:p>
    <w:p>
      <w:r>
        <w:rPr>
          <w:b/>
        </w:rPr>
        <w:t>E. 1</w:t>
      </w:r>
    </w:p>
    <w:p>
      <w:r>
        <w:t>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w:t>
      </w:r>
    </w:p>
    <w:p>
      <w:r>
        <w:t>- 3/4 - A/1316/2016 fondées sur l’art. 4A LPA, elles portent sur des actes illicites de l’autorité compétente, qui sont fondés sur le droit fédéral, cantonal ou communal et qui touchent les droits ou obligations d’une personne ayant un intérêt digne de protection (art. 4A al. 1 LPA).</w:t>
      </w:r>
    </w:p>
    <w:p>
      <w:r>
        <w:t>En l’espèce, le recourant se plaint de ce que son thermos lui a été saisi par un gardien et n’a pas été restitué par la direction de la prison dans le délai qu’il lui a fixé.</w:t>
      </w:r>
    </w:p>
    <w:p>
      <w:r>
        <w:t>a. La personne détenue a l’obligation de respecter les dispositions du règlement de l’établissement B______, entré en vigueur le 26 mars 2014 (RB______ - F 1 50.15), les directives du directeur général de l’office cantonal de la détention, du directeur de B______, du personnel pénitentiaire et les instructions du personnel médico-soignant (art. 67 RB______). Elle doit observer une attitude correcte à l’égard des différents personnels, des autres personnes détenues et des tiers (art. 68 RB______), à défaut de quoi elle s’expose à une sanction disciplinaire (art. 69 al. 1 let. m et n RB______) qui va de l’avertissement écrit aux arrêts pour une durée maximale de dix jours (art. 70 al. 4 RB______).</w:t>
      </w:r>
    </w:p>
    <w:p>
      <w:r>
        <w:t>b. Les faits rapportés par le recourant ne font pas état d’un processus disciplinaire engagé à son encontre qui se serait terminé par une décision de sanction. Ce dernier rapporte un incident sans en préciser les circonstances, se limitant à indiquer avoir mis en demeure la direction de lui restituer son thermos. Faute de décision ou de refus de statuer au sens de l’art. 4 al. 4 LPA établi – ce qui ne peut en tout état être le cas lorsque l’autorité interpellée se voit impartir d’entrée de cause un délai de réponse au moindre incident – le recours n’a pas d’objet et doit être déclaré irrecevable, sans instruction (art. 72 LPA).</w:t>
      </w:r>
    </w:p>
    <w:p>
      <w:r>
        <w:rPr>
          <w:b/>
        </w:rPr>
        <w:t>E. 2</w:t>
      </w:r>
    </w:p>
    <w:p>
      <w:r>
        <w:t>Compte tenu de ce qui précède, la question de la capacité du recourant pour agir peut demeurer ouverte.</w:t>
      </w:r>
    </w:p>
    <w:p>
      <w:r>
        <w:rPr>
          <w:b/>
        </w:rPr>
        <w:t>E. 3</w:t>
      </w:r>
    </w:p>
    <w:p>
      <w:r>
        <w:t>Vu la nature du litige, aucun émolument ne sera perçu ni aucune indemnité de procédure octroyée.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