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ATA/420/2022 vom 26. April 2022</w:t>
      </w:r>
    </w:p>
    <w:p>
      <w:r>
        <w:t>GE Cour de justice, 2022-04-26, FR</w:t>
      </w:r>
    </w:p>
    <w:p>
      <w:r>
        <w:rPr>
          <w:b/>
        </w:rPr>
        <w:t xml:space="preserve">Quelle: </w:t>
      </w:r>
      <w:r>
        <w:t>https://mcp.opencaselaw.ch/entscheid/ge_gerichte_ATA_420_2022</w:t>
      </w:r>
    </w:p>
    <w:p>
      <w:r>
        <w:t>FR: GE_GERICHTE ATA/420/2022 du 26 avril 2022</w:t>
      </w:r>
    </w:p>
    <w:p>
      <w:r>
        <w:t>IT: GE_GERICHTE ATA/420/2022 del 26 aprile 2022</w:t>
      </w:r>
    </w:p>
    <w:p>
      <w:pPr>
        <w:pStyle w:val="Heading2"/>
      </w:pPr>
      <w:r>
        <w:t>Erwägungen</w:t>
      </w:r>
    </w:p>
    <w:p>
      <w:r>
        <w:rPr>
          <w:b/>
        </w:rPr>
        <w:t>E. 12</w:t>
      </w:r>
    </w:p>
    <w:p>
      <w:r>
        <w:t>septembre 1985 - LPA - E 5 10). 2)</w:t>
      </w:r>
    </w:p>
    <w:p>
      <w:r>
        <w:t>Le recourant demande que soient ordonnées une expertise médicale afin de déterminer son état de santé ainsi que la production du rapport de F______ assurances SA lorsqu'il sera à sa disposition. 3) a. Le droit d’être entendu,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w:t>
      </w:r>
    </w:p>
    <w:p>
      <w:r>
        <w:t>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w:t>
      </w:r>
    </w:p>
    <w:p>
      <w:r>
        <w:t>b. S'agissant des demandes d'administration de preuves, il n'y a pas lieu, selon la jurisprudence relative à l'art. 29 al. 2 Cst., d'administrer des preuves sur des faits non pertinents, notoires, connus de l'autorité ou déjà suffisamment prouvés (arrêt du Tribunal fédéral 6B_741/2020 du 11 novembre 2020 consid. 4.1). Le refus d'instruire ne viole ainsi le droit d'être entendu des parties que si l'appréciation anticipée de la pertinence du moyen de preuve offert, à laquelle le juge a procédé, est entachée d'arbitraire (ATF 144 II 427 consid. 3.1.3 ; 141 I 60 consid. 3.3).</w:t>
      </w:r>
    </w:p>
    <w:p>
      <w:r>
        <w:t>c. La procédure administrative est en principe écrite, toutefois si le règlement et la nature de l’affaire le requièrent, l’autorité peut procéder oralement (art. 18 LPA). Le droit d'être entendu quant à lui ne comprend pas le droit à une audition</w:t>
      </w:r>
    </w:p>
    <w:p>
      <w:r>
        <w:t>- 12/22 - A/2880/2020 orale (ATF 140 I 285 consid. 6.3.1 ; arrêt du Tribunal fédéral 2D_51/2018 du</w:t>
      </w:r>
    </w:p>
    <w:p>
      <w:r>
        <w:rPr>
          <w:b/>
        </w:rPr>
        <w:t>E. 17</w:t>
      </w:r>
    </w:p>
    <w:p>
      <w:r>
        <w:t>novembre 2014 consid. 4.3 ; C-1240/2012 du 24 juillet 2014 consid. 5.3 ; ATA/353/2019 précité consid. 5d ; ATA/38/2019 précité consid. 4d).</w:t>
      </w:r>
    </w:p>
    <w:p>
      <w:r>
        <w:t>e.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w:t>
      </w:r>
    </w:p>
    <w:p>
      <w:r>
        <w:t>La jurisprudence requiert, de manière générale, une très longue durée (Minh SON NGUYEN/Cesla AMARELLE, Code annoté de droit des migrations, vol. 2 : LEtr, Berne, 2017, p. 269 et les références citées). Par durée assez longue, la jurisprudence entend une période de sept à huit ans (arrêt du TAF C-7330/2010 du 19 mars 2012 ; Minh SON NGUYEN/Cesla AMARELLE, op. cit., p. 269).</w:t>
      </w:r>
    </w:p>
    <w:p>
      <w:r>
        <w:t>Le Tribunal fédéral a considéré que l’on ne saurait inclure dans la notion de séjour légal les périodes où la présence de l’intéressé est seulement tolérée en Suisse (arrêt du Tribunal fédéral 2C_926/2010 du 21 juillet 2011 ; Minh SON NGUYEN/Cesla AMARELLE, op. cit., p. 270).</w:t>
      </w:r>
    </w:p>
    <w:p>
      <w:r>
        <w:t>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arrêt du Tribunal fédéral 2A.543/2001 précité consid. 5.2 ; arrêts du TAF C-5414/2013 précité consid. 5.1.4 ; C-6379/2012 et C-6377/2012 précité consid. 4.3 ; ATA/1130/2017 du 2 août 2017).</w:t>
      </w:r>
    </w:p>
    <w:p>
      <w:r>
        <w:t>- 15/22 - A/2880/2020</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w:t>
      </w:r>
    </w:p>
    <w:p>
      <w:r>
        <w:t>g.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ATA/1162/2020 du 17 novembre 2020 consid. 6c ; ATA/801/2018 du 7 août 2018 consid. 8a et les arrêts cités).</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Le cas échéant, ces critères ne peuvent en effet être pris en considération que dans le cadre de l'examen de la licéité et de l'exigibilité de l'exécution du renvoi (arrêts du TAF F.4125/2016 du 26 juillet 2017 consid. 5.4.1 ; C-2712/2012 précité consid. 5.7 ; ATA/1162/2020 précité consid. 6c ; ATA/801/2018 du 7 août 2018 consid. 8b). 9) a. En l'espèce, le recourant sollicite un permis de séjour en application de l’art. 30 al. 1 let. b LEI et 31 OASA.</w:t>
      </w:r>
    </w:p>
    <w:p>
      <w:r>
        <w:t>b. Premièrement, il convient d'examiner la durée du séjour en Suisse du recourant. Selon lui, son séjour remonte - selon ses différentes déclarations - à 2001 ou 2003 tandis que l'autorité intimée expose qu'il n'est pas établi – du moins de manière continue – pour ce qui est de la période antérieure à 2011. Quoi qu'il en soit, comme l'a retenu à juste titre le TAPI, cette durée doit être fortement relativisée dans la mesure où il s'agit d'un séjour illégal ou, depuis le début de la présente procédure en 2017, au bénéfice d'une simple tolérance des autorités de police des étrangers.</w:t>
      </w:r>
    </w:p>
    <w:p>
      <w:r>
        <w:t>- 16/22 - A/2880/2020</w:t>
      </w:r>
    </w:p>
    <w:p>
      <w:r>
        <w:t>c. S'agissant de l’intégration en Suisse, si le recourant a travaillé de manière à ne jamais émarger à l'aide sociale, ni faire l'objet de poursuites ou actes de défaut de biens, ces activités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en Suisse ne permet donc pas au recourant de se prévaloir d'une intégration professionnelle exceptionnelle au sens de la jurisprudence précitée. En outre, comme l'a relevé le TAPI, ses compétences linguistiques restent très limitées, soit un niveau A2 à l'écrit comme à l'oral, étant relevé qu'il ressort de l'expertise du 29 juillet 2021 qu'il ne s'exprime qu'avec énormément de difficultés en français.</w:t>
      </w:r>
    </w:p>
    <w:p>
      <w:r>
        <w:t>En outre, il a vécu sa jeunesse, son adolescence et une partie de sa vie d’adulte au Kosovo, de sorte que ses attaches avec la Suisse ne sont pas si profondes et durables au point qu’un retour dans son pays d’origine, dont il connaît les us et coutumes, parle la langue et où réside son épouse et ses quatre enfants, ne serait pas raisonnablement envisageable. Il semble avoir conservé des liens au Kosovo et, au demeurant, ne soutient pas le contraire, comme en témoigne le fait qu'il s'y soit rendu à plusieurs reprises depuis le dépôt de sa requête.</w:t>
      </w:r>
    </w:p>
    <w:p>
      <w:r>
        <w:t>d. S'agissant de son comportement, il ressort du dossier qu'il a fait l'objet d’une condamnation pénale en Suisse – outre une infraction retenue en 2016 à l'encontre de la législation régissant la police des étrangers due au séjour en Suisse sans autorisation –, en lien avec la falsification de fiches de salaires qu'il avait monnayée dans le cadre de sa demande de régularisation de ses conditions de séjour en Suisse. Ce comportement est constitutif d'une infraction pénale et d'un mépris de la législation suisse. C'est donc avec raison que le TAPI a retenu que le recourant représentait une menace pour l'ordre et la sécurité publics.</w:t>
      </w:r>
    </w:p>
    <w:p>
      <w:r>
        <w:t>e. Le recourant allègue encore que ses problèmes de santé le placeraient dans une situation très problématique, voire dangereuse pour sa santé ou même sa vie, s'il devait retourner dans son pays.</w:t>
      </w:r>
    </w:p>
    <w:p>
      <w:r>
        <w:t>À cet égard, comme précédemment mentionné, l'état de santé et la fragilité psychologique du recourant, tels que mis en lumière dans la procédure et en dernier lieu par l'expertise médicale du 29 juillet 2021, ne sont pas contestés. Cela étant, et quand bien même ces problèmes de santé ne doivent pas être minimisés, force est de constater que, sur le plan psychique, même s'il a développé un état dépressif au décours de l'ensemble de ses douleurs physiques, il souffre également d'un syndrome de stress post-traumatique en relation avec la guerre au Kosovo et d'un PTSD. Ainsi, conformément à la jurisprudence fédérale citée plus haut, il est entré pour la première fois en Suisse en souffrant déjà d'une sérieuse atteinte à la santé, et l'on ne saurait donc se fonder uniquement sur ce motif médical pour lui</w:t>
      </w:r>
    </w:p>
    <w:p>
      <w:r>
        <w:t>- 17/22 - A/2880/2020 accorder une exception aux mesures de limitation, ce qui constitue l'élément décisif sur ce point.</w:t>
      </w:r>
    </w:p>
    <w:p>
      <w:r>
        <w:t>À titre superfétatoire, quand bien même le suivi médical sur ce point serait péjoré par un retour dans son pays d'origine, le traitement entrepris – sur le plan psychique comme sur le plan physique – par le recourant peut y être poursuivi, comme il sera vu ci-après.</w:t>
      </w:r>
    </w:p>
    <w:p>
      <w:r>
        <w:t>S'agissant de ses problèmes de santé physique, tels qu'étayés actuellement, les soins et traitements de même que les investigations en cours, ne nécessitent pas forcément sa présence – à tout le moins – continue en Suisse. Ses divers voyages au Kosovo, pour des périodes allant d'un à deux mois, laissent entendre le contraire.</w:t>
      </w:r>
    </w:p>
    <w:p>
      <w:r>
        <w:t>En outre, rien n'établit que le suivi médical pluridisciplinaire requis à l'heure actuelle, pas plus que des investigations complémentaires, ne seraient pas disponible au Kosovo, l'assertion selon laquelle il n'existerait pas de traitement adapté et/ou déterminé ou encore qu'il n'aurait pas accès, pour partie, à des soins gratuits auprès d'hôpitaux universitaires pour ses affections ne suffisant pas à considérer les structures présentes au Kosovo comme insuffisantes. Enfin, il est peu probable que l'on ne trouve pas dans ce pays d'antalgiques et d'anti- inflammatoires à un prix accessible, étant relevé que le consulting du SEM rappelle le principe de leur gratuité.</w:t>
      </w:r>
    </w:p>
    <w:p>
      <w:r>
        <w:t>À ce propos, contrairement aux allégations du recourant, il ressort de la jurisprudence constante de la chambre de céans concernant des cas similaires (ATA/1336/2021 du 7 décembre 2021 consid. 4), fondée sur la documentation idoine du SEM, que les soins du type de ceux requis par son état de santé sont disponibles au Kosovo, même s'ils ne sont pas forcément de la qualité offerte en Suisse et quand bien même les prestations ou le financement de l'assurance ne seraient pas exportables, leur prise en charge est assurée dans la plupart des cas (arrêt du Tribunal administratif fédéral F-3505/2018 consid. 3.3.2 ; E-1575/2011 consid. 4.10 ; 2011/50 consid. 8.8).</w:t>
      </w:r>
    </w:p>
    <w:p>
      <w:r>
        <w:t>Quand bien même il devait souhaiter, éventuellement sur requête du F______ dans une procédure en lien avec l'octroi d'indemnités journalières pour perte de gain, procéder à des analyses complémentaires en Suisse, le recourant aurait la possibilité d'y revenir pour la durée nécessaire à ce but. Un voyage et une résidence temporaire à Genève chez son frère par exemple ne sont pas des obstacles insurmontables pour un séjour dans ce but, étant relevé qu’il a, à plusieurs reprises, trouvé les moyens financiers de voyager vers le Kosovo.</w:t>
      </w:r>
    </w:p>
    <w:p>
      <w:r>
        <w:t>À cet égard, son allégation selon laquelle un retour au Kosovo ne ferait qu'aggraver sa situation, n'est aucunement étayée et ne saurait dès lors être</w:t>
      </w:r>
    </w:p>
    <w:p>
      <w:r>
        <w:t>- 18/22 - A/2880/2020 retenue, aucun élément résultant du dossier ne le démontrant, ce d'autant qu'il pourra y bénéficier du soutien affectif et quotidien de son épouse et de ses enfants.</w:t>
      </w:r>
    </w:p>
    <w:p>
      <w:r>
        <w:t>Quant au fait de pouvoir éventuellement obtenir en Suisse des prestations médicales supérieures à celles offertes au Kosovo, il ne suffit pas à justifier une dérogation aux conditions d'admission.</w:t>
      </w:r>
    </w:p>
    <w:p>
      <w:r>
        <w:t>f. Les conditions d'un cas d'extrême gravité ne sont donc pas réalisées.</w:t>
      </w:r>
    </w:p>
    <w:p>
      <w:r>
        <w:t>Les conditions fixées par l’opération Papyrus ne le sont pas non plus, pour autant que l’on considère que sa demande ait été valablement déposée, au vu notamment de sa condamnation pénale pour faux dans les titres. 10) Le recourant fait encore valoir qu'il devrait être admis provisoirement.</w:t>
      </w:r>
    </w:p>
    <w:p>
      <w:r>
        <w:t>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b. Le renvoi d'un étranger ne peut toutefois être ordonné que si l'exécution de celui-ci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Cette hypothèse vise les situations dans lesquelles le renvoi est contraire au principe du non refoulement inscrit à l’art. 3 de la Convention de sauvegarde des droits de l’homme et des libertés fondamentales du 4 novembre 1950 (CEDH – RS 0.101) qui interdit la torture ainsi que les traitements cruels, inhumains et dégradants, principe rappelé à l’art. 25 al. 3 de la Constitution fédérale de la Confédération suisse du 18 avril 1999 (Cst. - RS 101), ou contraire au droit à la vie protégée par les art. 2 CEDH et 10 al. 1 Cst. Elle n'est pas raisonnablement exigible si elle met concrètement en danger l'étranger, par exemple en cas de guerre, de guerre civile, de violence généralisée ou de nécessité médicale (art. 83 al. 4 LEI).</w:t>
      </w:r>
    </w:p>
    <w:p>
      <w:r>
        <w:t>c. De jurisprudence constante, l'exécution du renvoi des personnes en traitement médical ne devient inexigible que dans la mesure où, à leur retour dans le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(ATAF 2011/50 du 2 mai 2011 consid. 8.3 et les références citées).</w:t>
      </w:r>
    </w:p>
    <w:p>
      <w:r>
        <w:t>- 19/22 - A/2880/2020</w:t>
      </w:r>
    </w:p>
    <w:p>
      <w:r>
        <w:t>Selon la jurisprudence du Tribunal administratif fédéral,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 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d. En l’espèce, les pièces médicales versées au dossier attestent de plusieurs affections, pour les unes évolutives et pour les autres non encore déterminées, qui doivent être évaluées, suivies et traitées. Ces nécessités sont compatibles avec le renvoi du recourant, lequel n’indique pas que les médicaments concernés ne seraient pas disponibles au Kosovo ou que ce pays ne bénéficierait pas de spécialistes à même de poser les diagnostics et d’assurer un suivi médical, ce qui a été constaté dans le cadre du consulting du SEM et relevé à de multiples reprises par la jurisprudence.</w:t>
      </w:r>
    </w:p>
    <w:p>
      <w:r>
        <w:t>Par ailleurs, contrairement à ce qu’il soutient, ni la loi ni la jurisprudence n’imposent de limiter l’analyse des infrastructures disponibles dans le pays à la seule région du domicile actuel de sa famille. S'il n'est pas lui-même titulaire d'un</w:t>
      </w:r>
    </w:p>
    <w:p>
      <w:r>
        <w:t>- 20/22 - A/2880/2020 permis de conduire, il n'allègue pas pour autant qu'un autre proche que son épouse ou voisin, ne serait pas en mesure de le véhiculer, étant rappelé qu'il est issu d'une fratrie de six frères et deux sœurs et qu'il n'avance pas nécessiter des soins médicaux effectués par un professionnel à fréquence quotidienne ou rapprochée.</w:t>
      </w:r>
    </w:p>
    <w:p>
      <w:r>
        <w:t>En conséquence, le recourant n’a pas été en mesure de se prévaloir d’un faisceau d’indices objectifs et concrets permettant de renverser la présomption selon laquelle l’exécution du renvoi vers le Kosovo est raisonnablement exigible (art. 83 al. 4 et 5 LEI ; arrêt du Tribunal administratif fédéral D-1282/2020 du 25 mars 2020 consid. 5.3.4).</w:t>
      </w:r>
    </w:p>
    <w:p>
      <w:r>
        <w:t>De surcroît, selon la jurisprudence, la propagation dans le monde de la pandémie de Covid-19 n'est, de par son caractère temporaire, pas de nature à remettre en cause l'exécution d'un renvoi. S'il devait la retarder momentanément, celle-ci interviendrait nécessairement plus tard, en temps approprié (arrêt du TAF D-1233/2018 du 29 avril 2020 ; ATA/199/2021 du 23 février 2021 consid. 13c ; ATA/1154/2020 du 17 novembre 2020 consid. 9b).</w:t>
      </w:r>
    </w:p>
    <w:p>
      <w:r>
        <w:t>Par ailleurs, le recourant n'allègue pas – et il ne ressort pas du dossier – que le renvoi serait impossible, illicite ou inexigible pour d’autres motifs.</w:t>
      </w:r>
    </w:p>
    <w:p>
      <w:r>
        <w:t>C'est par conséquent à bon droit et sans abus de son pouvoir d’appréciation que l'autorité intimée a prononcé le renvoi et ordonné son exécution.</w:t>
      </w:r>
    </w:p>
    <w:p>
      <w:r>
        <w:t>Dans ces circonstances, la décision de l'autorité intimée est conforme au droit et le recours contre le jugement du TAPI, entièrement mal fondé, sera rejeté. 11) Le recourant plaidant au bénéfice de l’assistance juridique, il ne sera pas perçu d’émolument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