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ATA/41/2017 vom 17. Januar 2017</w:t>
      </w:r>
    </w:p>
    <w:p>
      <w:r>
        <w:t>GE Cour de justice, 2017-01-17, FR</w:t>
      </w:r>
    </w:p>
    <w:p>
      <w:r>
        <w:rPr>
          <w:b/>
        </w:rPr>
        <w:t xml:space="preserve">Quelle: </w:t>
      </w:r>
      <w:r>
        <w:t>https://mcp.opencaselaw.ch/entscheid/ge_gerichte_ATA_41_2017</w:t>
      </w:r>
    </w:p>
    <w:p>
      <w:r>
        <w:t>FR: GE_GERICHTE ATA/41/2017 du 17 janvier 2017</w:t>
      </w:r>
    </w:p>
    <w:p>
      <w:r>
        <w:t>IT: GE_GERICHTE ATA/41/2017 del 17 gennaio 2017</w:t>
      </w:r>
    </w:p>
    <w:p>
      <w:pPr>
        <w:pStyle w:val="Heading2"/>
      </w:pPr>
      <w:r>
        <w:t>Erwägungen</w:t>
      </w:r>
    </w:p>
    <w:p>
      <w:r>
        <w:rPr>
          <w:b/>
        </w:rPr>
        <w:t>E. 1</w:t>
      </w:r>
    </w:p>
    <w:p>
      <w:r>
        <w:t>Interjeté en temps utile et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Sauf disposition légale contraire, le recours a effet suspensif, à moins que l’autorité qui a pris la décision n’ait ordonné l’exécution nonobstant recours (art. 66 al. 1 LPA).</w:t>
      </w:r>
    </w:p>
    <w:p>
      <w:r>
        <w:rPr>
          <w:b/>
        </w:rPr>
        <w:t>E. 3</w:t>
      </w:r>
    </w:p>
    <w:p>
      <w:r>
        <w:t>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HÄFELIN/Georg MÜLLER/Felix UHLMANN, Allgemeines</w:t>
      </w:r>
    </w:p>
    <w:p>
      <w:r>
        <w:t>- 5/9 - A/1520/2016 Verwaltungsrecht, 7ème éd., 2016, n. 1166 ; Pierre MOOR/Étienne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w:t>
      </w:r>
    </w:p>
    <w:p>
      <w:r>
        <w:rPr>
          <w:b/>
        </w:rPr>
        <w:t>E. 5</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w:t>
      </w:r>
    </w:p>
    <w:p>
      <w:r>
        <w:t>- 6/9 - A/1520/2016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rPr>
          <w:b/>
        </w:rPr>
        <w:t>E. 6</w:t>
      </w:r>
    </w:p>
    <w:p>
      <w:r>
        <w:t>En l’espèce, la décision litigieuse est clairement de type négatif. De plus, elle ne s’inscrit pas dans le cadre du dernier titre de séjour de la recourante lié au statut de son époux et échu le 16 septembre 2014, mais intervient dans le cadre du recours contre le refus prononcé par l’OCIRT à l’égard d’une nouvelle demande déposée par le recourant en faveur de l’intéressée le 16 février 2016, soit plus d’un an après l’échéance du dernier permis de la recourante, afin de permettre à celle-ci de travailler en Suisse. Cette dernière ne disposait ainsi, tant lors du refus de l’intimé qu’au moment de la décision litigieuse, d’aucun droit de séjour. C’est donc à juste titre que le TAPI a refusé la restitution de l’effet suspensif au recours contre le refus de l’OCIRT.</w:t>
      </w:r>
    </w:p>
    <w:p>
      <w:r>
        <w:t>Quant à l’octroi de mesures provisionnelles ayant le même effet, il n’est pas non plus envisageable. En effet, une telle conclusion aboutirait, comme l’indique le TAPI, à accorder à la recourante l’autorisation sollicitée au fond et anticiperait ainsi le jugement définitif. Le fait que l’intéressée ne soit pas, d’après les informations fournies par l’OCPM et contrairement aux déclarations du recourant devant le TAPI, autorisée à travailler la met certes dans une position financière délicate, au vu de ses trois enfants à charge et de l’absence d’emploi de son époux, sans toutefois que cela constitue un abus du pouvoir d’appréciation de l’autorité intimée. La demande de mesures provisionnelles sollicitée ne pouvait donc qu’être refusée. Par conséquent, le recours doit être rejeté et la décision du TAPI confirmée.</w:t>
      </w:r>
    </w:p>
    <w:p>
      <w:r>
        <w:rPr>
          <w:b/>
        </w:rPr>
        <w:t>E. 7</w:t>
      </w:r>
    </w:p>
    <w:p>
      <w:r>
        <w:t>Au vu de ce qui précède, le recours sera rejeté.</w:t>
      </w:r>
    </w:p>
    <w:p>
      <w:r>
        <w:t>Un émolument de CHF 400.- sera mis à la charge conjointe et solidaire des recourants qui succombent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