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ATA/41/2008 vom 5. Februar 2008</w:t>
      </w:r>
    </w:p>
    <w:p>
      <w:r>
        <w:t>GE Cour de justice, 2008-02-05, FR</w:t>
      </w:r>
    </w:p>
    <w:p>
      <w:r>
        <w:rPr>
          <w:b/>
        </w:rPr>
        <w:t xml:space="preserve">Quelle: </w:t>
      </w:r>
      <w:r>
        <w:t>https://mcp.opencaselaw.ch/entscheid/ge_gerichte_ATA_41_2008</w:t>
      </w:r>
    </w:p>
    <w:p>
      <w:r>
        <w:t>FR: GE_GERICHTE ATA/41/2008 du 5 février 2008</w:t>
      </w:r>
    </w:p>
    <w:p>
      <w:r>
        <w:t>IT: GE_GERICHTE ATA/41/2008 del 5 febbraio 2008</w:t>
      </w:r>
    </w:p>
    <w:p>
      <w:pPr>
        <w:pStyle w:val="Heading2"/>
      </w:pPr>
      <w:r>
        <w:t>Regeste</w:t>
      </w:r>
    </w:p>
    <w:p>
      <w:r>
        <w:t>Résumé: Annulation de l'élection administrative complémentaire dans la commune de Vernier. L'opération électorale n'a pas été l'expression fidèle et sûre de la volonté des électeurs.</w:t>
      </w:r>
    </w:p>
    <w:p>
      <w:pPr>
        <w:pStyle w:val="Heading2"/>
      </w:pPr>
      <w:r>
        <w:t>Erwägungen</w:t>
      </w:r>
    </w:p>
    <w:p>
      <w:r>
        <w:rPr>
          <w:b/>
        </w:rPr>
        <w:t>E. 1</w:t>
      </w:r>
    </w:p>
    <w:p>
      <w:r>
        <w:t>A teneur de l’article 56F, alinéa 1er lettre a de la loi sur l’organisation judiciaire du 22 novembre 1941 (LOJ - E 2 05), le Tribunal administratif siège au nombre de cinq juges notamment en matière d’élections.</w:t>
      </w:r>
    </w:p>
    <w:p>
      <w:r>
        <w:t>En cette matière, le délai de recours est de six jours en application de l’article 63 alinéa 1er lettre c LPA ; lorsque le dernier jour d’un délai tombe un samedi, il expire le premier jour utile suivant (ATA/656/2007 du 18 décembre 2007) selon l’article 17 alinéa 3 LPA (ATA/623/2007 du 4 décembre 2007).</w:t>
      </w:r>
    </w:p>
    <w:p>
      <w:r>
        <w:t>L’opération électorale litigieuse a eu lieu le 3 juin 2007. Le recours de Mme Luscher a été expédié le 6 juin 2007, celui de l’association et de M. Zufferey l’a été le lundi 11 juin 2007, soit le premier jour utile après l’expiration du délai.</w:t>
      </w:r>
    </w:p>
    <w:p>
      <w:r>
        <w:t>Les recours sont ainsi recevables.</w:t>
      </w:r>
    </w:p>
    <w:p>
      <w:r>
        <w:rPr>
          <w:b/>
        </w:rPr>
        <w:t>E. 2</w:t>
      </w:r>
    </w:p>
    <w:p>
      <w:r>
        <w:t>En application de l’article 14 LPA, la suspension de la procédure administrative peut être prononcée lorsqu’une procédure pénale porte sur les mêmes faits. En l’espèce, l’instruction des recours de Mme Luscher, de l’association et de M. Zufferey, joints par décision du 22 juin 2007, a été suspendue dès cette date et jusqu’au 24 septembre 2007.</w:t>
      </w:r>
    </w:p>
    <w:p>
      <w:r>
        <w:rPr>
          <w:b/>
        </w:rPr>
        <w:t>E. 3</w:t>
      </w:r>
    </w:p>
    <w:p>
      <w:r>
        <w:t>Les parties à la présente procédure ont le droit d’être entendues.</w:t>
      </w:r>
    </w:p>
    <w:p>
      <w:r>
        <w:t>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(ATF 124 I 49 consid. 3a p. 51 et les arrêts cités ; Arrêt du Tribunal fédéral 1P.742/1999 du 15 février 2000 consid. 3a ; Arrêt du Tribunal fédéral du 12 novembre 1998 publié in RDAF 1999 II 97 consid. 5a p. 103). Si la protection prévue par ces lois est insuffisante, ce sont les règles minimales déduites de la Cst. qui s’appliquent</w:t>
      </w:r>
    </w:p>
    <w:p>
      <w:r>
        <w:t>- 33/39 - A/2188/2007 (Arrêts du Tribunal fédéral 2P.256/2001 du 24 janvier 2002 consid. 2b ; 1P.545/2000 du 14 décembre 2000 consid. 2a et les arrêts cités ; B. BOVAY, Procédure administrative, Berne 2000, p. 198).</w:t>
      </w:r>
    </w:p>
    <w:p>
      <w:r>
        <w:t>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w:t>
      </w:r>
    </w:p>
    <w:p>
      <w:r>
        <w:t>En l’espèce, tant les parties recourantes que les autorités intimées et l’appelé en cause par la décision du 12 octobre 2007 ont pu s’exprimer par écrit. Elles ont également participé à une audience de comparution personnelle des parties qui s’est tenue le 21 décembre 2007 et ont eu accès au dossier, contenant notamment celui de la procédure pénale en cours. Les 11 et 18 janvier 2008 a eu lieu un ultime échange d’écritures, demandé par les parties. Enfin, le 21 janvier 2008, elles ont été informées que la cause était gardée à juger.</w:t>
      </w:r>
    </w:p>
    <w:p>
      <w:r>
        <w:rPr>
          <w:b/>
        </w:rPr>
        <w:t>E. 4</w:t>
      </w:r>
    </w:p>
    <w:p>
      <w:r>
        <w:t>A teneur de l’article 25 lettre b du Pacte international relatif aux droits civils et politiques entré en vigueur pour la Suisse le 18 septembre 1992 (Pacte II – RS 0.103.2 ; ATF 129 I 185 p. 192), tout citoyen a le droit et la possibilité de voter et d’être élu, au cours d’élections périodiques, honnêtes, au suffrage universel et égal et au scrutin secret, assurant l’expression libre de la volonté des électeurs.</w:t>
      </w:r>
    </w:p>
    <w:p>
      <w:r>
        <w:t>Selon l’article 34 alinéa 2 Cst. (ATF 132 I 104 consid. 3.1 p. 108 supra), la garantie des droits politiques protège la libre formation de l’opinion des citoyens et des citoyennes et l’expression fidèle et sûre de leur volonté. Parmi les principes tirés de cette disposition constitutionnelle, figurent notamment le droit à la composition exacte du corps électoral, celui au secret du vote ainsi qu’à la régularité des modalités de l’expression de la volonté populaire. Les trois recourants se plaignent de ce que des inconnus s’étaient rendus chez des électeurs afin de se faire remettre le matériel électoral de ceux-ci, de telle sorte que le résultat de l’élection ne pouvait être considéré comme représentant de manière fidèle et sûre la volonté librement exprimée du corps électoral. Ils concluent en conséquence à l’annulation de l’opération électorale litigieuse.</w:t>
      </w:r>
    </w:p>
    <w:p>
      <w:r>
        <w:rPr>
          <w:b/>
        </w:rPr>
        <w:t>E. 5</w:t>
      </w:r>
    </w:p>
    <w:p>
      <w:r>
        <w:t>Le droit à la composition exacte du corps électoral a fait l’objet d’un arrêt du Tribunal fédéral du 16 août 1995 (ATF 121 I 187) sous l’angle de l’examen de la garantie d’une expression fidèle et sûre de la volonté des citoyens dans le cas du vote par correspondance. Selon le Tribunal fédéral, la procédure de vote doit être organisée dans son ensemble d’une manière telle que la volonté des citoyens s’exprime de manière fidèle et sûre. Lorsqu’un nouveau mode de scrutin introduit</w:t>
      </w:r>
    </w:p>
    <w:p>
      <w:r>
        <w:t>- 34/39 - A/2188/2007 sur certains points des simplifications, celles-ci doivent être compensées par des mesures de sécurité supplémentaires. Ainsi, l’admission du vote par correspondance doit être compensée par l’introduction de mesures de protection plus élevées contre les abus (ATF 121 I 187 consid. 3 p. 191). A teneur de cet arrêt, il était généralement admis par la doctrine que le vote par correspondance comportait un risque accru d’abus (ATF 121 I 187 consid. 3d p. 193). Pour ce motif, la plupart des cantons exigeait soit que les électeurs signent leur carte de vote, soit qu’ils fassent une demande expresse pour pouvoir voter par correspondance. Un vote anonyme ne permettant pas d’identifier les votants, ne correspondait pas à la notion d’expression fidèle et sûre de la volonté des électeurs. Il revenait dès lors aux cantons de s’organiser de manière à ce que lesdits électeurs puissent être identifiés de manière sûre (ATF 121 I 187 consid. 3f p. 195).</w:t>
      </w:r>
    </w:p>
    <w:p>
      <w:r>
        <w:t>Selon la doctrine (A. AUER/G. MALINVERNI/M. HOTTELIER, Droit constitutionnel suisse, vol. 1, Berne 2000, p. 300), le droit à la composition exacte du corps électoral oblige l’autorité à vérifier que seuls prennent part aux votations et élections les citoyens qui ont l’exercice des droits politiques.</w:t>
      </w:r>
    </w:p>
    <w:p>
      <w:r>
        <w:t>En l’espèce, il ressort des auditions diligentées par le juge d’instruction en charge de la procédure pénale qu’un certain nombre d’électeurs ont remis à des tiers dont l’identification est sans pertinence quant à l’issue de la présente procédure, leur carte d’électeur signée et que certains d’entre eux ont également remis à ces personnes les cartes électorales de membres de leur famille. Ainsi, dans chacun des cas où un électeur a remis sa carte de vote à un tiers au lieu d’expédier l’intégralité du matériel contenant son bulletin de vote ou qu’il a signé la carte de vote d’autres membres de sa famille, il y a lieu de considérer que le droit à une composition exacte du corps électoral a été violé.</w:t>
      </w:r>
    </w:p>
    <w:p>
      <w:r>
        <w:rPr>
          <w:b/>
        </w:rPr>
        <w:t>E. 6</w:t>
      </w:r>
    </w:p>
    <w:p>
      <w:r>
        <w:t>La garantie des droits politiques implique le respect des règles de procédure (ATF 131 I 442 consid. 3.1 p. 446-447 et consid. 3.8 p. 453), afin notamment de ne pas nuire à la crédibilité du résultat de l’élection.</w:t>
      </w:r>
    </w:p>
    <w:p>
      <w:r>
        <w:t>Selon l’article 63 de la loi sur l’exercice des droits politiques du 15 octobre 1982 (LEDP - A 5 05), le vote par procuration est interdit. L’électeur choisissant d’exprimer son suffrage par correspondance doit signer sa carte de vote et inscrire sa date de naissance complète puis l’expédier au service des votations et élections accompagnée de son enveloppe de vote fermée contenant le ou les bulletins (art. 21 al. 1er du règlement d’application de la loi sur l’exercice des droits politiques du 12 décembre 1994 - REDP - A 5 05.01). La notion de vote personnel est renforcée par l’article 20 du même règlement selon lequel les pouvoirs publics expédient à chaque électeur une carte de vote, nul ne pouvant exercer son droit de vote s’il n’est pas titulaire de ladite carte. Enfin, l’article 23 REDP réserve aux seuls handicapés la faculté de requérir l’aide à une personne de leur choix pour exercer leur droit politique.</w:t>
      </w:r>
    </w:p>
    <w:p>
      <w:r>
        <w:t>- 35/39 - A/2188/2007</w:t>
      </w:r>
    </w:p>
    <w:p>
      <w:r>
        <w:t>En l’espèce, il est acquis que des électeurs n’ont pas signé de leur main la carte de vote, mais que celle-ci l’a été par une tierce personne alors même qu’ils n’étaient pas handicapés. Le fait de remplir soi-même sa propre carte de vote et de la remettre à une tierce personne qui y joint alors le bulletin électoral qu’elle veut, constitue une violation de l’article 63 LEDP prohibant le vote par procuration et de l’article 21 REDP selon lequel l’électeur expédie son enveloppe de vote fermée, contenant le bulletin correspondant à l’opération électorale, après avoir rempli la date de naissance, signé sa carte de vote et l’avoir jointe à l’enveloppe fermée sous un second pli. Ces deux règles contribuent à garantir la régularité du vote par correspondance. Elles sont également violées si un électeur se contente de signer sa propre carte, mais n’indique pas sa date de naissance.</w:t>
      </w:r>
    </w:p>
    <w:p>
      <w:r>
        <w:rPr>
          <w:b/>
        </w:rPr>
        <w:t>E. 7</w:t>
      </w:r>
    </w:p>
    <w:p>
      <w:r>
        <w:t>L’article 34 Cst. garantit également le droit à un vote sans influence de tiers. Selon la jurisprudence du Tribunal fédéral toutefois, l’exercice de la liberté d’expression est indispensable à la démocratie et il serait vain de vouloir sanctionner tous les excès, les électeurs devant être présumés être capables de faire leur choix, de reconnaître les exagérations manifestes et de se forger une opinion (SJ 1992 313 consid. 2 p. 319).</w:t>
      </w:r>
    </w:p>
    <w:p>
      <w:r>
        <w:t>En l’espèce, les renseignements volontairement fallacieux, ayant trait notamment à la possibilité pour une personne de signer des cartes de vote émises au nom des membres de sa famille, ne peuvent être protégés par la liberté d’expression. Si l’article 16 alinéa 2 Cst. protège notamment le droit de répandre librement son opinion, on ne saurait considérer qu’il couvre des mensonges quant aux règles gouvernant l’exercice du droit de vote.</w:t>
      </w:r>
    </w:p>
    <w:p>
      <w:r>
        <w:t>Dans ces conditions, il convient également d’admettre que le droit à un vote sans influence a été violé.</w:t>
      </w:r>
    </w:p>
    <w:p>
      <w:r>
        <w:rPr>
          <w:b/>
        </w:rPr>
        <w:t>E. 8</w:t>
      </w:r>
    </w:p>
    <w:p>
      <w:r>
        <w:t>Selon une jurisprudence constante du Tribunal fédéral, les recourants n’ont pas à prouver qu’un ou plusieurs vices ont affecté de manière certaine le résultat d’une élection. L’autorité chargée de trancher un tel litige doit simplement se convaincre qu’une telle influence a été possible ; elle se fonde sur une impression d’ensemble lorsqu’il est exclu d’apprécier sous forme de dénombrement l’influence des vices constatés (ATF 112 Ia 129 consid. 3a p. 134).</w:t>
      </w:r>
    </w:p>
    <w:p>
      <w:r>
        <w:t>Dans ses écritures des 23 novembre 2007 et 18 janvier 2008, l’appelé en cause considère que 18 ou 19 votes pourraient être considérés comme nuls, car ils correspondraient à des suffrages recueillis dans des conditions litigieuses. Or, ce nombre devrait être rapporté à la différence de 184 suffrages séparant l’appelé en cause du second candidat le mieux placé recourant dans la présente procédure. De surcroît, l’écart des voix était supérieur à 3% alors même que dans plusieurs communes genevoises, l’écart des voix entre un candidat élu et le premier de ceux qui ne l’avaient pas été, était plus faible.</w:t>
      </w:r>
    </w:p>
    <w:p>
      <w:r>
        <w:t>- 36/39 - A/2188/2007</w:t>
      </w:r>
    </w:p>
    <w:p>
      <w:r>
        <w:t>Ainsi que cela ressort des résultats de l’opération électorale litigieuse, 6’267 bulletins ont été retrouvés. Il est manifeste que l’enquête pénale n’a pas consisté en l’audition de près de 6’300 électeurs afin de déterminer dans quelles conditions ils avaient exprimé leur choix. Le tribunal de céans doit dès lors se forger une impression d’ensemble du scrutin. Les éléments qu’il retiendra sont les suivants :</w:t>
      </w:r>
    </w:p>
    <w:p>
      <w:r>
        <w:t>a. Il est avéré que des personnes se sont présentées chez des électeurs pour collecter leur matériel de vote, leur faisant croire dans certains cas qu’ils procédaient ainsi pour le compte des autorités communales. À certaines occasions, ces personnes se sont fait remettre plusieurs cartes de vote, signées le cas échéant par le même électeur. Il est constant également que les électeurs ayant remis leur seule carte de vote à un tiers ne peuvent ainsi connaître à qui leur suffrage est allé. Il est acquis enfin que des demandes de duplicata ont été remises au service chargé des élections et votations et que celui-ci a renvoyé le matériel électoral aux personnes ainsi désignées, sans s’assurer qu’elles souhaitaient effectivement le recevoir, certaines de ces demandes n’étant pas signées.</w:t>
      </w:r>
    </w:p>
    <w:p>
      <w:r>
        <w:t>b. La propagande électorale sous forme de porte-à-porte n’est en rien prohibée. En l’espèce, toutefois il est établi que des électeurs ont reçu la visite de personnes faisant non seulement de la propagande électorale en faveur d’un candidat - comportement parfaitement admissible - mais qui ont abusé de la situation pour se faire remettre du matériel électoral dans des conditions violant tant les garanties de rang constitutionnel que le droit cantonal pertinent. Ces opérations paraissent s’être déroulées principalement dans des quartiers à forte population étrangère, composée d’électeurs exerçant pour la première fois des droits nouveaux et peu au fait du système électoral helvétique.</w:t>
      </w:r>
    </w:p>
    <w:p>
      <w:r>
        <w:t>c. Dans le cadre de l’examen que pratique le Tribunal administratif, il est sans importance de déterminer à qui les suffrages ainsi captés ont pu profiter. Juge de l’opération électorale, le tribunal de céans doit apprécier si l’opération litigieuse a été l’expression fidèle et sûre de la volonté des électeurs au sens de l’article 34 alinéa 2 Cst. (ATF 129 I 185 consid. 7.2 p. 199 et 232 consid. 4.2 p. 244). Tel n’est pas le cas sur le vu de l’ensemble des éléments de fait rappelés ci-dessous. L’élection complémentaire dans la commune de Vernier du 3 juin 2007 pour la désignation du troisième membre du Conseil administratif doit dès lors être annulée, le scrutin devant être répété.</w:t>
      </w:r>
    </w:p>
    <w:p>
      <w:r>
        <w:t>d. Les questions de l’influence éventuelle de l’usage des armoiries communales au cours de la campagne, de la détermination de la personne ayant reçu au SVE des duplicata et de celle ayant fait usage d’un clé SI ou passe-partout peuvent rester indécises, car leur résolution est sans influence sur le résultat auquel est conduit le tribunal de céans par l’examen des faits auquel il a procédé.</w:t>
      </w:r>
    </w:p>
    <w:p>
      <w:r>
        <w:rPr>
          <w:b/>
        </w:rPr>
        <w:t>E. 9</w:t>
      </w:r>
    </w:p>
    <w:p>
      <w:r>
        <w:t>Bien fondé, les recours doivent être admis. Leurs auteurs, qui obtiennent gain de cause, ont droit aux dépens auxquels ils ont conclu. Ceux-ci seront arrêtés</w:t>
      </w:r>
    </w:p>
    <w:p>
      <w:r>
        <w:t>- 37/39 - A/2188/2007 à deux fois CHF 2'500.- pour respectivement Mme Luscher, d’une part et l’association libérale de Vernier et M. Zufferey, d’autre part, en application de l’article 87 alinéa 2 LPA. Ils seront mis conjointement et solidairement à la charge du Mouvement citoyens genevois, intimé et de M. Cerutti, appelé en cause. La commune de Vernier et le Conseil d’Etat qui n’ont pas pris de conclusions formelles, n’ont pas droit à une allocation de dépens, le canton étant au demeurant une collectivité publique d’une taille suffisante pour disposer de son propre service juridique (ATA/591/2007 du 20 novembre 2007 ; ATA/813/2003 du 4 novembre 2003). Les frais de la procédure seront mis conjointement et solidairement à la charge de M. Cerutti et du MCG à hauteur de CHF 3'000.-.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