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ATA/419/2019 vom 9. April 2019</w:t>
      </w:r>
    </w:p>
    <w:p>
      <w:r>
        <w:t>GE Cour de justice, 2019-04-09, FR</w:t>
      </w:r>
    </w:p>
    <w:p>
      <w:r>
        <w:rPr>
          <w:b/>
        </w:rPr>
        <w:t xml:space="preserve">Quelle: </w:t>
      </w:r>
      <w:r>
        <w:t>https://mcp.opencaselaw.ch/entscheid/ge_gerichte_ATA_419_2019</w:t>
      </w:r>
    </w:p>
    <w:p>
      <w:r>
        <w:t>FR: GE_GERICHTE ATA/419/2019 du 9 avril 2019</w:t>
      </w:r>
    </w:p>
    <w:p>
      <w:r>
        <w:t>IT: GE_GERICHTE ATA/419/2019 del 9 aprile 2019</w:t>
      </w:r>
    </w:p>
    <w:p>
      <w:pPr>
        <w:pStyle w:val="Heading2"/>
      </w:pPr>
      <w:r>
        <w:t>Erwägungen</w:t>
      </w:r>
    </w:p>
    <w:p>
      <w:r>
        <w:rPr>
          <w:b/>
        </w:rPr>
        <w:t>E. 9</w:t>
      </w:r>
    </w:p>
    <w:p>
      <w:r>
        <w:t>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 5) a. En l’espèce, les époux A______ B______ soulignent avoir mis en exergue devant le TAPI le danger que le projet litigieux représenterait en l’état pour les eaux souterraines, de même que des lacunes quant aux voies d’accès et la problématique de l’absence d’esthétisme. Selon eux, le recours de l’association et consorts n’aborderait pas ces griefs, de sorte que les questions de droit à trancher seraient fondamentalement différentes. Les causes A/687/2018 et A/688/2018 ne se rapporteraient en conséquence ni à une situation identique, ni à une cause juridique commune, et les mesures d’instruction requises dans ces deux procédures viseraient des buts fondamentalement différents. Il en découlerait pour eux une participation en temps et en argent à des mesures qui ne seraient requises ni par eux, ni par la partie qui a déposé la demande d’autorisation de construire. Ils verraient ainsi leur procédure se complexifier « drastiquement » avec de nouvelles parties en la personne de l’association et consorts, recourants qui poursuivraient leurs intérêts propres et non convergents par rapport à eux-mêmes. La décision de jonction attaquée leur causerait dès lors un préjudice irréparable.</w:t>
      </w:r>
    </w:p>
    <w:p>
      <w:r>
        <w:t>- 7/8 - A/687/2018</w:t>
      </w:r>
    </w:p>
    <w:p>
      <w:r>
        <w:t>b. Cela étant, les recourants ne font valoir aucun préjudice concret et clairement déterminable du fait de la jonction des causes contestée, notamment pas un risque lié à la confidentialité d’informations ou données personnelles (arrêt du Tribunal fédéral 1C_501/2013 du 12 février 2014 consid. 2.2.5).</w:t>
      </w:r>
    </w:p>
    <w:p>
      <w:r>
        <w:t>Les complexifications et l’augmentation du temps des époux A______ B______ dévolu à la procédure au fond ensuite de la jonction des causes ne vont pas au-delà des inconvénients possibles, de manière inhérente à toute procédure, au sens de la jurisprudence rappelée plus haut, et ne constituent dès lors pas un préjudice irréparable, lequel fait donc en l’occurrence défaut.</w:t>
      </w:r>
    </w:p>
    <w:p>
      <w:r>
        <w:t>Au demeurant, contrairement à ce que prétendent les recourants, l’association et consorts ne poursuivent pas un but divergent par rapport au leur, puisqu’ils concluent aussi à l’annulation de la même décision globale du DT, de sorte que les causes A/687/2018 et A/688/2018 se rapportent manifestement à une situation identique ou à une cause juridique commune au sens de l’art. 70 al. 1 LPA. On ne voit en outre pas quel serait l’intérêt des époux A______ B______ à contester les griefs de l’association et consorts qui portent sur la non-conformité du projet litigieux à la zone et au plan directeur communal, la densification « outrancière » qui en résulterait ainsi que l’abattage d’arbres.</w:t>
      </w:r>
    </w:p>
    <w:p>
      <w:r>
        <w:t>c. Concernant la seconde condition – alternative – de l’art. 57 let. c LPA, l’éventuelle admission du recours ne conduirait pas immédiatement à une décision finale. Même si les recourants obtenaient gain de cause dans la présente procédure, le TAPI devrait quoi qu’il en soit encore trancher sur le fond le litige consistant en la contestation de la décision globale d’autorisation de construire, ce litige devant au surplus être instruit. 6)</w:t>
      </w:r>
    </w:p>
    <w:p>
      <w:r>
        <w:t>Vu ce qui précède, aucune des conditions de recours de l’art. 57 let. c LPA n’étant réalisée, le recours des époux A______ B______ est irrecevable, de sorte qu’il n’est pas nécessaire d’examiner leurs griefs au fond dont une violation de leur droit d’être entendus.</w:t>
      </w:r>
    </w:p>
    <w:p>
      <w:r>
        <w:t>Cette issue rend sans objet la requête de retrait de l’effet suspensif au recours formulée par l’hospice. 7)</w:t>
      </w:r>
    </w:p>
    <w:p>
      <w:r>
        <w:t>Vu l’issue du litige, un émolument de CHF 900.- sera mis à la charge des recourants (art. 87 al. 1 LPA). Aucune indemnité de procédure ne sera allouée à l’hospice qui y conclut (art. 87 al. 2 LPA). En effet, celui-ci est une entité de droit public d’une taille suffisante pour disposer d’un service juridique et ne pas être obligée de recourir aux services d’un mandataire extérieur (ATA/1196/2017 du 22 août 2017 consid. 3, par analogie). Quant à l’association et consorts, ils n’ont pas formulé d’observations ni conclu à l’octroi d’une indemnité de procédure.</w:t>
      </w:r>
    </w:p>
    <w:p>
      <w:r>
        <w:t>- 8/8 - A/687/2018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