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ATA/419/2016 vom 24. Mai 2016</w:t>
      </w:r>
    </w:p>
    <w:p>
      <w:r>
        <w:t>GE Cour de justice, 2016-05-24, FR</w:t>
      </w:r>
    </w:p>
    <w:p>
      <w:r>
        <w:rPr>
          <w:b/>
        </w:rPr>
        <w:t xml:space="preserve">Quelle: </w:t>
      </w:r>
      <w:r>
        <w:t>https://mcp.opencaselaw.ch/entscheid/ge_gerichte_ATA_419_2016</w:t>
      </w:r>
    </w:p>
    <w:p>
      <w:r>
        <w:t>FR: GE_GERICHTE ATA/419/2016 du 24 mai 2016</w:t>
      </w:r>
    </w:p>
    <w:p>
      <w:r>
        <w:t>IT: GE_GERICHTE ATA/419/2016 del 24 maggio 2016</w:t>
      </w:r>
    </w:p>
    <w:p>
      <w:pPr>
        <w:pStyle w:val="Heading2"/>
      </w:pPr>
      <w:r>
        <w:t>Erwägungen</w:t>
      </w:r>
    </w:p>
    <w:p>
      <w:r>
        <w:rPr>
          <w:b/>
        </w:rPr>
        <w:t>E. 1</w:t>
      </w:r>
    </w:p>
    <w:p>
      <w:r>
        <w:t>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w:t>
      </w:r>
    </w:p>
    <w:p>
      <w:r>
        <w:t>- 5/7 - A/738/2016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rPr>
          <w:b/>
        </w:rPr>
        <w:t>E. 2</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Ulrich HÄFELIN/Georg MÜLLER/Felix UHLMANN, Allgemeines Verwaltungsrecht, 6ème éd. 2010, n. 867 ss ; Pierre MOOR/Étienne POLTIER, Droit administratif, vol. 2, 3ème éd. 2011 pp. 179 ss n. 2.1.2.1 ss et 245 n. 2.2.3.3 ; Thierry TANQUEREL, Manuel de droit administratif éd. 2011,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3ème éd., 2013, p. 310 ; ATA/715/2014 du 9 septembre 2014 consid. 3 ; ATA/537/2014 du 17 juillet 2014 consid. 2 ; ATA/104/2013 du 19 février 2013 consid. 2).</w:t>
      </w:r>
    </w:p>
    <w:p>
      <w:r>
        <w:t>- 6/7 - A/738/2016</w:t>
      </w:r>
    </w:p>
    <w:p>
      <w:r>
        <w:t>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 Pierre MOOR/Etienne POLTIER, op. cit., no 2.1.2.3 p. 164).</w:t>
      </w:r>
    </w:p>
    <w:p>
      <w:r>
        <w:rPr>
          <w:b/>
        </w:rPr>
        <w:t>E. 3</w:t>
      </w:r>
    </w:p>
    <w:p>
      <w:r>
        <w:t>En l’occurrence, le courrier du SAPEM du 12 février 2016 adressé au recourant suite à sa requête formulée le 19 janvier 2016 ne constitue pas un refus de l’autoriser à acquérir des vêtements depuis l’établissement, ni un refus définitif de le mettre au bénéfice du subside mis à la disposition des personnes incarcérées en son sein en application des circulaires des 26 juin 2015 et 25 juillet 2013. Répondant à une demande abstraite de celui-ci, postérieure de plusieurs mois à des tentatives d’achats de vêtements, il ne peut plus être mis en relation avec ces événements passés. Le courrier du SAPEM précité a la portée d’une information ou d’un rappel à l’attention de l’intéressé pour le prochain achat, pour lequel son droit à bénéficier du subside prévu est réservé dans le cadre de la procédure mise en place à cette fin au sein de l’établissement par le biais de l’art. 35 RCurabilis dont la teneur est la suivante : « La personne détenue porte des vêtements adéquats. Curabilis y pourvoit si la personne détenue n'en a pas les moyens ». En l’absence d’une décision au sens de l’art. 4 LPA, le recours sera déclaré irrecevable sans qu’il y ait besoin d’aborder les autres points soulevés par l’intéressé.</w:t>
      </w:r>
    </w:p>
    <w:p>
      <w:r>
        <w:t>Cela étant, la chambre administrative précisera, dans l’hypothèse d’un éventuel nouveau différend à l’occasion d’un achat de vêtement futur par l’intéressé, que si, dans un souci de préserver l’autonomie du recourant, le droit de celui-ci à choisir et à acheter lui-même ses vêtements doit être légitiment préservé, la question de savoir de quelle façon cet achat doit être financé lui échappe en cas de différend sur ce point. En effet, dans le cas du recourant, dès lors qu’une curatelle générale a été instituée en faveur de celui-ci, la question de savoir à qui incombe le paiement de l’achat doit être réglée directement entre l’établissement, son service social et le curateur désigné. Le règlement de cette question par ce biais ne met pas en cause les droits strictement personnels de l’intéressé et permet d’éviter la saisine inutile de tribunaux sur des différends de cette nature, relatifs à la gestion du quotidien du recourant au sein de l’établissement.</w:t>
      </w:r>
    </w:p>
    <w:p>
      <w:r>
        <w:rPr>
          <w:b/>
        </w:rPr>
        <w:t>E. 4</w:t>
      </w:r>
    </w:p>
    <w:p>
      <w:r>
        <w:t>Aucun émolument ne sera prélevé (art. 12 règlement sur les frais, émoluments et indemnités en procédure administrative du 30 juillet 1986 - RFPA - E 5 10.03). De même, aucune indemnité ne sera allouée (art. 87 al. 2 LPA). * * * * *</w:t>
      </w:r>
    </w:p>
    <w:p>
      <w:r>
        <w:t>- 7/7 - A/738/2016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